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A2F" w:rsidRDefault="00DE1C1F" w:rsidP="00284B81">
      <w:pPr>
        <w:spacing w:line="240" w:lineRule="auto"/>
        <w:ind w:firstLine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Additional file</w:t>
      </w:r>
    </w:p>
    <w:p w:rsidR="00284B81" w:rsidRDefault="00284B81" w:rsidP="00284B81">
      <w:pPr>
        <w:spacing w:line="240" w:lineRule="auto"/>
        <w:ind w:firstLine="0"/>
        <w:rPr>
          <w:rFonts w:ascii="Arial" w:hAnsi="Arial" w:cs="Arial"/>
          <w:b/>
          <w:u w:val="single"/>
        </w:rPr>
      </w:pPr>
    </w:p>
    <w:p w:rsidR="00284B81" w:rsidRPr="00284B81" w:rsidRDefault="00284B81" w:rsidP="00284B81">
      <w:pPr>
        <w:spacing w:after="60" w:line="240" w:lineRule="auto"/>
        <w:ind w:firstLine="0"/>
        <w:rPr>
          <w:rFonts w:ascii="Arial" w:eastAsia="Calibri" w:hAnsi="Arial" w:cs="Arial"/>
        </w:rPr>
      </w:pPr>
      <w:r w:rsidRPr="00284B81">
        <w:rPr>
          <w:rFonts w:ascii="Arial" w:eastAsia="Calibri" w:hAnsi="Arial" w:cs="Arial"/>
          <w:b/>
        </w:rPr>
        <w:t xml:space="preserve">Table </w:t>
      </w:r>
      <w:r w:rsidR="00DE1C1F">
        <w:rPr>
          <w:rFonts w:ascii="Arial" w:eastAsia="Calibri" w:hAnsi="Arial" w:cs="Arial"/>
          <w:b/>
        </w:rPr>
        <w:t>S</w:t>
      </w:r>
      <w:r w:rsidRPr="00284B81">
        <w:rPr>
          <w:rFonts w:ascii="Arial" w:eastAsia="Calibri" w:hAnsi="Arial" w:cs="Arial"/>
          <w:b/>
        </w:rPr>
        <w:t xml:space="preserve">1. </w:t>
      </w:r>
      <w:r w:rsidRPr="00284B81">
        <w:rPr>
          <w:rFonts w:ascii="Arial" w:eastAsia="Calibri" w:hAnsi="Arial" w:cs="Arial"/>
        </w:rPr>
        <w:t>Comprehensive description of the target weight measure.</w:t>
      </w:r>
      <w:r w:rsidR="00FD58F6" w:rsidRPr="00284B81">
        <w:rPr>
          <w:rFonts w:ascii="Arial" w:eastAsia="Calibri" w:hAnsi="Arial" w:cs="Arial"/>
        </w:rPr>
        <w:fldChar w:fldCharType="begin"/>
      </w:r>
      <w:r w:rsidRPr="00284B81">
        <w:rPr>
          <w:rFonts w:ascii="Arial" w:eastAsia="Calibri" w:hAnsi="Arial" w:cs="Arial"/>
        </w:rPr>
        <w:instrText xml:space="preserve"> ADDIN EN.CITE &lt;EndNote&gt;&lt;Cite&gt;&lt;RecNum&gt;6&lt;/RecNum&gt;&lt;DisplayText&gt;&lt;style face="superscript"&gt;7&lt;/style&gt;&lt;/DisplayText&gt;&lt;record&gt;&lt;rec-number&gt;6&lt;/rec-number&gt;&lt;foreign-keys&gt;&lt;key app="EN" db-id="pdvw05efbtdvs1et00mpv55jz0t9stvdvv5p" timestamp="1471871285"&gt;6&lt;/key&gt;&lt;/foreign-keys&gt;&lt;ref-type name="Generic"&gt;13&lt;/ref-type&gt;&lt;titles&gt;&lt;title&gt;National Quality Forum&lt;/title&gt;&lt;/titles&gt;&lt;number&gt;November 30, 2015&lt;/number&gt;&lt;/record&gt;&lt;/Cite&gt;&lt;/EndNote&gt;</w:instrText>
      </w:r>
      <w:r w:rsidR="00FD58F6" w:rsidRPr="00284B81">
        <w:rPr>
          <w:rFonts w:ascii="Arial" w:eastAsia="Calibri" w:hAnsi="Arial" w:cs="Arial"/>
        </w:rPr>
        <w:fldChar w:fldCharType="separate"/>
      </w:r>
      <w:r w:rsidRPr="00284B81">
        <w:rPr>
          <w:rFonts w:ascii="Arial" w:eastAsia="Calibri" w:hAnsi="Arial" w:cs="Arial"/>
          <w:noProof/>
          <w:vertAlign w:val="superscript"/>
        </w:rPr>
        <w:t>7</w:t>
      </w:r>
      <w:r w:rsidR="00FD58F6" w:rsidRPr="00284B81">
        <w:rPr>
          <w:rFonts w:ascii="Arial" w:eastAsia="Calibri" w:hAnsi="Arial" w:cs="Arial"/>
        </w:rPr>
        <w:fldChar w:fldCharType="end"/>
      </w:r>
    </w:p>
    <w:tbl>
      <w:tblPr>
        <w:tblW w:w="109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5"/>
        <w:gridCol w:w="9408"/>
      </w:tblGrid>
      <w:tr w:rsidR="00284B81" w:rsidRPr="00284B81" w:rsidTr="001F663F">
        <w:trPr>
          <w:trHeight w:val="404"/>
        </w:trPr>
        <w:tc>
          <w:tcPr>
            <w:tcW w:w="1505" w:type="dxa"/>
            <w:shd w:val="clear" w:color="auto" w:fill="D9D9D9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9408" w:type="dxa"/>
            <w:shd w:val="clear" w:color="auto" w:fill="auto"/>
          </w:tcPr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% of patients in the facility with an average post-dialysis weight ≥1 kg above or below the prescribed target weight</w:t>
            </w:r>
          </w:p>
        </w:tc>
      </w:tr>
      <w:tr w:rsidR="00284B81" w:rsidRPr="00284B81" w:rsidTr="001F663F">
        <w:tc>
          <w:tcPr>
            <w:tcW w:w="1505" w:type="dxa"/>
            <w:shd w:val="clear" w:color="auto" w:fill="D9D9D9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Time window</w:t>
            </w:r>
          </w:p>
        </w:tc>
        <w:tc>
          <w:tcPr>
            <w:tcW w:w="9408" w:type="dxa"/>
            <w:shd w:val="clear" w:color="auto" w:fill="auto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12 months</w:t>
            </w:r>
          </w:p>
        </w:tc>
      </w:tr>
      <w:tr w:rsidR="00284B81" w:rsidRPr="00284B81" w:rsidTr="001F663F">
        <w:tc>
          <w:tcPr>
            <w:tcW w:w="1505" w:type="dxa"/>
            <w:shd w:val="clear" w:color="auto" w:fill="D9D9D9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Numerator</w:t>
            </w:r>
          </w:p>
        </w:tc>
        <w:tc>
          <w:tcPr>
            <w:tcW w:w="9408" w:type="dxa"/>
            <w:shd w:val="clear" w:color="auto" w:fill="auto"/>
          </w:tcPr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# of patient-months in the facility with an average post-dialysis weight ≥1 kg above or below the prescribed target weight </w:t>
            </w:r>
          </w:p>
        </w:tc>
      </w:tr>
      <w:tr w:rsidR="00284B81" w:rsidRPr="00284B81" w:rsidTr="001F663F">
        <w:tc>
          <w:tcPr>
            <w:tcW w:w="1505" w:type="dxa"/>
            <w:shd w:val="clear" w:color="auto" w:fill="D9D9D9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Numerator details</w:t>
            </w:r>
          </w:p>
        </w:tc>
        <w:tc>
          <w:tcPr>
            <w:tcW w:w="9408" w:type="dxa"/>
            <w:shd w:val="clear" w:color="auto" w:fill="auto"/>
          </w:tcPr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For all patients meeting the denominator inclusion criteria in the reporting month: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10"/>
                <w:szCs w:val="10"/>
              </w:rPr>
            </w:pP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 Calculate the difference between the post-dialysis weight and the prescribed target weight for each treatment in the calculation period (during the week of the Kt/V assessment)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10"/>
                <w:szCs w:val="10"/>
              </w:rPr>
            </w:pP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Difference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  <w:vertAlign w:val="subscript"/>
              </w:rPr>
              <w:t>Treat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= (post-dialysis weight (kg) – prescribed target weight (kg))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10"/>
                <w:szCs w:val="10"/>
              </w:rPr>
            </w:pP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2. Take the sum of the differences calculated in step 1.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10"/>
                <w:szCs w:val="10"/>
              </w:rPr>
            </w:pP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Difference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  <w:vertAlign w:val="subscript"/>
              </w:rPr>
              <w:t>Sum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= (Difference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  <w:vertAlign w:val="subscript"/>
              </w:rPr>
              <w:t>Treat1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+ …… Difference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  <w:vertAlign w:val="subscript"/>
              </w:rPr>
              <w:t>Treatj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)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j=Number of treatments during the week that the monthly Kt/V is drawn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10"/>
                <w:szCs w:val="10"/>
              </w:rPr>
            </w:pP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3. Calculate each patient’s average weight difference for all HD treatments during the week that the monthly Kt/V is drawn: 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10"/>
                <w:szCs w:val="10"/>
              </w:rPr>
            </w:pP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Difference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  <w:vertAlign w:val="subscript"/>
              </w:rPr>
              <w:t>Average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= Difference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  <w:vertAlign w:val="subscript"/>
              </w:rPr>
              <w:t>Sum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/ j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j=Number of treatments during the week that the monthly Kt/V is drawn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10"/>
                <w:szCs w:val="10"/>
              </w:rPr>
            </w:pP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4. Sum the number of patients in each facility with an average dialysis treatment post-weight and target weight difference during the calculation period that is ≥ ±1 kg</w:t>
            </w:r>
          </w:p>
        </w:tc>
      </w:tr>
      <w:tr w:rsidR="00284B81" w:rsidRPr="00284B81" w:rsidTr="001F663F">
        <w:tc>
          <w:tcPr>
            <w:tcW w:w="1505" w:type="dxa"/>
            <w:shd w:val="clear" w:color="auto" w:fill="D9D9D9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Denominator</w:t>
            </w:r>
          </w:p>
        </w:tc>
        <w:tc>
          <w:tcPr>
            <w:tcW w:w="9408" w:type="dxa"/>
            <w:shd w:val="clear" w:color="auto" w:fill="auto"/>
          </w:tcPr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Total number of adult, in-center HD patients at the reporting facility meeting selection criteria</w:t>
            </w:r>
          </w:p>
        </w:tc>
      </w:tr>
      <w:tr w:rsidR="00284B81" w:rsidRPr="00284B81" w:rsidTr="001F663F">
        <w:tc>
          <w:tcPr>
            <w:tcW w:w="1505" w:type="dxa"/>
            <w:shd w:val="clear" w:color="auto" w:fill="D9D9D9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Denominator details</w:t>
            </w:r>
          </w:p>
        </w:tc>
        <w:tc>
          <w:tcPr>
            <w:tcW w:w="9408" w:type="dxa"/>
            <w:shd w:val="clear" w:color="auto" w:fill="auto"/>
            <w:vAlign w:val="center"/>
          </w:tcPr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Identify all in-center HD patients who are ≥18 years in the facility during the reporting period</w:t>
            </w:r>
          </w:p>
        </w:tc>
      </w:tr>
      <w:tr w:rsidR="00284B81" w:rsidRPr="00284B81" w:rsidTr="001F663F">
        <w:tc>
          <w:tcPr>
            <w:tcW w:w="1505" w:type="dxa"/>
            <w:shd w:val="clear" w:color="auto" w:fill="D9D9D9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Exclusions</w:t>
            </w:r>
          </w:p>
        </w:tc>
        <w:tc>
          <w:tcPr>
            <w:tcW w:w="9408" w:type="dxa"/>
            <w:shd w:val="clear" w:color="auto" w:fill="auto"/>
          </w:tcPr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 PD or home HD patients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2. Age &lt;18 years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3. Treatment without post-weight or target weight data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4. Patient present at reporting facility &lt;30 days 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5. Patient at facility with &lt;11 patients during month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6. &lt;7 HD treatments during reporting month</w:t>
            </w:r>
          </w:p>
        </w:tc>
      </w:tr>
      <w:tr w:rsidR="00284B81" w:rsidRPr="00284B81" w:rsidTr="001F663F">
        <w:tc>
          <w:tcPr>
            <w:tcW w:w="1505" w:type="dxa"/>
            <w:shd w:val="clear" w:color="auto" w:fill="D9D9D9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Score type</w:t>
            </w:r>
          </w:p>
        </w:tc>
        <w:tc>
          <w:tcPr>
            <w:tcW w:w="9408" w:type="dxa"/>
            <w:shd w:val="clear" w:color="auto" w:fill="auto"/>
            <w:vAlign w:val="center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Rate / proportion</w:t>
            </w:r>
          </w:p>
        </w:tc>
      </w:tr>
      <w:tr w:rsidR="00284B81" w:rsidRPr="00284B81" w:rsidTr="001F663F">
        <w:tc>
          <w:tcPr>
            <w:tcW w:w="1505" w:type="dxa"/>
            <w:shd w:val="clear" w:color="auto" w:fill="D9D9D9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Interpretation</w:t>
            </w:r>
          </w:p>
        </w:tc>
        <w:tc>
          <w:tcPr>
            <w:tcW w:w="9408" w:type="dxa"/>
            <w:shd w:val="clear" w:color="auto" w:fill="auto"/>
            <w:vAlign w:val="center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Lower score is more favorable</w:t>
            </w:r>
          </w:p>
        </w:tc>
      </w:tr>
      <w:tr w:rsidR="00284B81" w:rsidRPr="00284B81" w:rsidTr="001F663F">
        <w:tc>
          <w:tcPr>
            <w:tcW w:w="1505" w:type="dxa"/>
            <w:shd w:val="clear" w:color="auto" w:fill="D9D9D9"/>
          </w:tcPr>
          <w:p w:rsidR="00284B81" w:rsidRPr="00284B81" w:rsidRDefault="00284B81" w:rsidP="00DE1C1F">
            <w:pPr>
              <w:spacing w:beforeLines="20" w:afterLines="20" w:line="240" w:lineRule="auto"/>
              <w:ind w:firstLin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Algorithm</w:t>
            </w:r>
          </w:p>
        </w:tc>
        <w:tc>
          <w:tcPr>
            <w:tcW w:w="9408" w:type="dxa"/>
            <w:shd w:val="clear" w:color="auto" w:fill="auto"/>
          </w:tcPr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Scores are calculated on a monthly basis and then averaged over a 12-month period using the following algorithm to obtain the facility annual score: 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1. Sum the number of patients in the denominator for each facility month 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10"/>
                <w:szCs w:val="10"/>
              </w:rPr>
            </w:pP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 Sum the number of patients in the numerator for each facility month 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10"/>
                <w:szCs w:val="10"/>
              </w:rPr>
            </w:pP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3. Calculate the facility’s score for each month: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10"/>
                <w:szCs w:val="1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Score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  <w:vertAlign w:val="subscript"/>
              </w:rPr>
              <w:t>k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= Numerator Population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  <w:vertAlign w:val="subscript"/>
              </w:rPr>
              <w:t>k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/ Denominator Population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  <w:vertAlign w:val="subscript"/>
              </w:rPr>
              <w:t>k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k=Each month of the reporting year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10"/>
                <w:szCs w:val="10"/>
              </w:rPr>
            </w:pP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4. Calculate the facility’s annual score: 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Annual Score = (Score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  <w:vertAlign w:val="subscript"/>
              </w:rPr>
              <w:t xml:space="preserve">1 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+ … Score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  <w:vertAlign w:val="subscript"/>
              </w:rPr>
              <w:t>k</w:t>
            </w: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) / k</w:t>
            </w:r>
          </w:p>
          <w:p w:rsidR="00284B81" w:rsidRPr="00284B81" w:rsidRDefault="00284B81" w:rsidP="00DE1C1F">
            <w:pPr>
              <w:autoSpaceDE w:val="0"/>
              <w:autoSpaceDN w:val="0"/>
              <w:adjustRightInd w:val="0"/>
              <w:spacing w:beforeLines="20" w:afterLines="20" w:line="240" w:lineRule="auto"/>
              <w:ind w:firstLine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k=Number of months in the reporting year</w:t>
            </w:r>
          </w:p>
        </w:tc>
      </w:tr>
    </w:tbl>
    <w:p w:rsidR="00284B81" w:rsidRPr="00284B81" w:rsidRDefault="00284B81" w:rsidP="00284B81">
      <w:pPr>
        <w:spacing w:line="240" w:lineRule="auto"/>
        <w:ind w:firstLine="0"/>
        <w:rPr>
          <w:rFonts w:ascii="Arial" w:eastAsia="Calibri" w:hAnsi="Arial" w:cs="Arial"/>
        </w:rPr>
      </w:pPr>
    </w:p>
    <w:p w:rsidR="00284B81" w:rsidRP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  <w:r w:rsidRPr="00284B81">
        <w:rPr>
          <w:rFonts w:ascii="Arial" w:eastAsia="Calibri" w:hAnsi="Arial" w:cs="Arial"/>
          <w:sz w:val="18"/>
          <w:szCs w:val="18"/>
        </w:rPr>
        <w:t>Abbreviations: HD, hemodialysis; PD, peritoneal dialysis.</w:t>
      </w:r>
    </w:p>
    <w:p w:rsidR="00284B81" w:rsidRDefault="00284B81" w:rsidP="00284B81">
      <w:pPr>
        <w:spacing w:line="240" w:lineRule="auto"/>
        <w:ind w:firstLine="0"/>
        <w:rPr>
          <w:rFonts w:ascii="Arial" w:hAnsi="Arial" w:cs="Arial"/>
          <w:b/>
          <w:u w:val="single"/>
        </w:rPr>
        <w:sectPr w:rsidR="00284B81" w:rsidSect="00284B81">
          <w:footerReference w:type="default" r:id="rId6"/>
          <w:pgSz w:w="12240" w:h="15840"/>
          <w:pgMar w:top="720" w:right="720" w:bottom="720" w:left="720" w:header="720" w:footer="288" w:gutter="0"/>
          <w:cols w:space="720"/>
          <w:docGrid w:linePitch="360"/>
        </w:sectPr>
      </w:pPr>
    </w:p>
    <w:p w:rsidR="00284B81" w:rsidRPr="00284B81" w:rsidRDefault="00284B81" w:rsidP="00284B81">
      <w:pPr>
        <w:spacing w:after="60" w:line="240" w:lineRule="auto"/>
        <w:ind w:firstLine="0"/>
        <w:rPr>
          <w:rFonts w:ascii="Arial" w:eastAsia="Calibri" w:hAnsi="Arial" w:cs="Arial"/>
        </w:rPr>
      </w:pPr>
      <w:r w:rsidRPr="00284B81">
        <w:rPr>
          <w:rFonts w:ascii="Arial" w:eastAsia="Calibri" w:hAnsi="Arial" w:cs="Arial"/>
          <w:b/>
        </w:rPr>
        <w:lastRenderedPageBreak/>
        <w:t xml:space="preserve">Table </w:t>
      </w:r>
      <w:r w:rsidR="00DE1C1F">
        <w:rPr>
          <w:rFonts w:ascii="Arial" w:eastAsia="Calibri" w:hAnsi="Arial" w:cs="Arial"/>
          <w:b/>
        </w:rPr>
        <w:t>S</w:t>
      </w:r>
      <w:r w:rsidRPr="00284B81">
        <w:rPr>
          <w:rFonts w:ascii="Arial" w:eastAsia="Calibri" w:hAnsi="Arial" w:cs="Arial"/>
          <w:b/>
        </w:rPr>
        <w:t xml:space="preserve">2. </w:t>
      </w:r>
      <w:r w:rsidRPr="00284B81">
        <w:rPr>
          <w:rFonts w:ascii="Arial" w:eastAsia="Calibri" w:hAnsi="Arial" w:cs="Arial"/>
        </w:rPr>
        <w:t>Detailed description of individual fluid-related weight accumulation with the application of a 13 mL/h/kg UF rate threshold.</w:t>
      </w:r>
    </w:p>
    <w:tbl>
      <w:tblPr>
        <w:tblW w:w="14490" w:type="dxa"/>
        <w:tblLayout w:type="fixed"/>
        <w:tblLook w:val="04A0"/>
      </w:tblPr>
      <w:tblGrid>
        <w:gridCol w:w="540"/>
        <w:gridCol w:w="2430"/>
        <w:gridCol w:w="1260"/>
        <w:gridCol w:w="1080"/>
        <w:gridCol w:w="1170"/>
        <w:gridCol w:w="1260"/>
        <w:gridCol w:w="1710"/>
        <w:gridCol w:w="1260"/>
        <w:gridCol w:w="1890"/>
        <w:gridCol w:w="1890"/>
      </w:tblGrid>
      <w:tr w:rsidR="00284B81" w:rsidRPr="00284B81" w:rsidTr="00964014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Actual Data</w:t>
            </w:r>
          </w:p>
        </w:tc>
        <w:tc>
          <w:tcPr>
            <w:tcW w:w="6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sz w:val="18"/>
                <w:szCs w:val="18"/>
              </w:rPr>
              <w:t>Calculated Data after application of an UF rate threshold of 13 mL/h/kg</w:t>
            </w:r>
          </w:p>
        </w:tc>
      </w:tr>
      <w:tr w:rsidR="00964014" w:rsidRPr="00284B81" w:rsidTr="00964014">
        <w:trPr>
          <w:trHeight w:val="800"/>
        </w:trPr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sz w:val="18"/>
                <w:szCs w:val="18"/>
              </w:rPr>
              <w:t>HD tmt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Previous treatment post-dialysis weight (kg)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Pre-dialysis weight (kg)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IDWG (kg)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Prescribed TT (h)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Prescribed UF rate (mL/h/kg)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Maximum allowable UF (kg)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Weight change (kg) 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Cumulative weight change (kg)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Calculated post-dialysis weight (kg)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64.4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6.72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3.26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62.70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21.83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+2.04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64.74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62.7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14.64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+0.33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2.37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65.07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9.54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-0.98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64.09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64.8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16.75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+0.77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2.16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64.86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61.0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21.95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+2.03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4.18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66.88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63.3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66.3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11.76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-0.48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3.71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66.41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14.02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+0.05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3.75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66.45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14.47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+0.14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3.90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66.60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9.38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-1.16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2.73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65.43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14.85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3.40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+0.20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2.93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65.63</w:t>
            </w:r>
          </w:p>
        </w:tc>
      </w:tr>
      <w:tr w:rsidR="00964014" w:rsidRPr="00284B81" w:rsidTr="00964014">
        <w:trPr>
          <w:trHeight w:val="288"/>
        </w:trPr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17.86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+0.99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3.92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84B81">
              <w:rPr>
                <w:rFonts w:ascii="Arial" w:eastAsia="Calibri" w:hAnsi="Arial" w:cs="Arial"/>
                <w:color w:val="000000"/>
                <w:sz w:val="18"/>
                <w:szCs w:val="18"/>
              </w:rPr>
              <w:t>66.62</w:t>
            </w:r>
          </w:p>
        </w:tc>
      </w:tr>
    </w:tbl>
    <w:p w:rsidR="00284B81" w:rsidRPr="00284B81" w:rsidRDefault="00284B81" w:rsidP="00284B81">
      <w:pPr>
        <w:spacing w:after="60" w:line="240" w:lineRule="auto"/>
        <w:ind w:firstLine="0"/>
        <w:rPr>
          <w:rFonts w:ascii="Arial" w:eastAsia="Calibri" w:hAnsi="Arial" w:cs="Arial"/>
          <w:b/>
        </w:rPr>
      </w:pPr>
    </w:p>
    <w:p w:rsidR="00284B81" w:rsidRP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20"/>
          <w:szCs w:val="20"/>
        </w:rPr>
      </w:pPr>
      <w:r w:rsidRPr="00284B81">
        <w:rPr>
          <w:rFonts w:ascii="Arial" w:eastAsia="Calibri" w:hAnsi="Arial" w:cs="Arial"/>
          <w:sz w:val="20"/>
          <w:szCs w:val="20"/>
        </w:rPr>
        <w:t>In order to calculate the potential fluid-related weight gain based on a 13 mL/h/kg UF rate threshold, treatments were restricted to those occurring in February 2012. Patients were required to have no missing treatments during the month (n treatments= 12 or 13 depending on dialysis schedule) and were required to survive 60 days after the end of February 2012. The actual prescribed UF rate (mL/h/kg) for each treatment was calculated as follows: (pre-dialysis weight from current treatment – post-dialysis weight from previous treatment (mL)) / prescribed TT (h) / post-dialysis weight from previous treatment (kg). We established the maximum ultrafiltration volume (kg) allowable with application of a UF rate maximum of 13 mL/h/kg as follows: (13</w:t>
      </w:r>
      <w:proofErr w:type="gramStart"/>
      <w:r w:rsidRPr="00284B81">
        <w:rPr>
          <w:rFonts w:ascii="Arial" w:eastAsia="Calibri" w:hAnsi="Arial" w:cs="Arial"/>
          <w:sz w:val="20"/>
          <w:szCs w:val="20"/>
        </w:rPr>
        <w:t>)(</w:t>
      </w:r>
      <w:proofErr w:type="gramEnd"/>
      <w:r w:rsidRPr="00284B81">
        <w:rPr>
          <w:rFonts w:ascii="Arial" w:eastAsia="Calibri" w:hAnsi="Arial" w:cs="Arial"/>
          <w:sz w:val="20"/>
          <w:szCs w:val="20"/>
        </w:rPr>
        <w:t>calculated post-weight from previous treatment)(prescribed TT) = maximum allowable UF (kg). The maximum allowable UF varied due to fluctuations in post-weights after application of calculated fluid-related weight gains and losses. The per treatment weight change (kg) was calculated as follows: actual IDWG (kg) – maximum allowable UF (kg). The cumulative fluid-related weight change (kg) was calculated by summing the weight changes (kg) of all previous treatments. The calculated post-dialysis weight (kg) was calculated by adding the weight change (kg) to the previous calculated post-dialysis weight. An example of these calculations applied to a single representative patient for all February 2012 treatments is shown in the table.</w:t>
      </w:r>
    </w:p>
    <w:p w:rsidR="00284B81" w:rsidRP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20"/>
          <w:szCs w:val="20"/>
        </w:rPr>
      </w:pPr>
    </w:p>
    <w:p w:rsidR="00284B81" w:rsidRP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20"/>
          <w:szCs w:val="20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  <w:r w:rsidRPr="00284B81">
        <w:rPr>
          <w:rFonts w:ascii="Arial" w:eastAsia="Calibri" w:hAnsi="Arial" w:cs="Arial"/>
          <w:sz w:val="18"/>
          <w:szCs w:val="18"/>
        </w:rPr>
        <w:t>Abbreviations: HD, hemodialysis; tmt, treatment; IDWG, interdialytic weight gain; TT, treatment time; UF, ultrafiltration.</w:t>
      </w: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>
      <w:pPr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br w:type="page"/>
      </w: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  <w:sectPr w:rsidR="00284B81" w:rsidSect="00284B81">
          <w:pgSz w:w="15840" w:h="12240" w:orient="landscape"/>
          <w:pgMar w:top="720" w:right="720" w:bottom="720" w:left="720" w:header="720" w:footer="288" w:gutter="0"/>
          <w:cols w:space="720"/>
          <w:docGrid w:linePitch="360"/>
        </w:sectPr>
      </w:pPr>
    </w:p>
    <w:p w:rsidR="00284B81" w:rsidRPr="00284B81" w:rsidRDefault="00284B81" w:rsidP="00284B81">
      <w:pPr>
        <w:spacing w:after="60" w:line="240" w:lineRule="auto"/>
        <w:ind w:firstLine="0"/>
        <w:rPr>
          <w:rFonts w:ascii="Arial" w:eastAsia="Calibri" w:hAnsi="Arial" w:cs="Arial"/>
          <w:b/>
        </w:rPr>
      </w:pPr>
      <w:r w:rsidRPr="00284B81">
        <w:rPr>
          <w:rFonts w:ascii="Arial" w:eastAsia="Calibri" w:hAnsi="Arial" w:cs="Arial"/>
          <w:b/>
        </w:rPr>
        <w:lastRenderedPageBreak/>
        <w:t xml:space="preserve">Table </w:t>
      </w:r>
      <w:r w:rsidR="00DE1C1F">
        <w:rPr>
          <w:rFonts w:ascii="Arial" w:eastAsia="Calibri" w:hAnsi="Arial" w:cs="Arial"/>
          <w:b/>
        </w:rPr>
        <w:t>S</w:t>
      </w:r>
      <w:r w:rsidRPr="00284B81">
        <w:rPr>
          <w:rFonts w:ascii="Arial" w:eastAsia="Calibri" w:hAnsi="Arial" w:cs="Arial"/>
          <w:b/>
        </w:rPr>
        <w:t xml:space="preserve">3. </w:t>
      </w:r>
      <w:r w:rsidRPr="00284B81">
        <w:rPr>
          <w:rFonts w:ascii="Arial" w:eastAsia="Calibri" w:hAnsi="Arial" w:cs="Arial"/>
        </w:rPr>
        <w:t>Patient and facility-level target weight achievement as calculated by target weight measure criteria on a monthly and annual basis.</w:t>
      </w:r>
      <w:r w:rsidRPr="00284B81">
        <w:rPr>
          <w:rFonts w:ascii="Arial" w:eastAsia="Calibri" w:hAnsi="Arial" w:cs="Arial"/>
          <w:vertAlign w:val="superscript"/>
        </w:rPr>
        <w:t>a</w:t>
      </w:r>
    </w:p>
    <w:tbl>
      <w:tblPr>
        <w:tblW w:w="105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4A0"/>
      </w:tblPr>
      <w:tblGrid>
        <w:gridCol w:w="1930"/>
        <w:gridCol w:w="1710"/>
        <w:gridCol w:w="3465"/>
        <w:gridCol w:w="3465"/>
      </w:tblGrid>
      <w:tr w:rsidR="00284B81" w:rsidRPr="00284B81" w:rsidTr="001F663F"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Patient-level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Facility-level</w:t>
            </w:r>
          </w:p>
        </w:tc>
      </w:tr>
      <w:tr w:rsidR="00284B81" w:rsidRPr="00284B81" w:rsidTr="001F663F"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Calculation period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 xml:space="preserve">Post-dialysis and target weight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difference (kg)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Percentage of facility patients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with average post-dialysis weight ≥1 kg above or below the prescribed target weight</w:t>
            </w:r>
          </w:p>
        </w:tc>
      </w:tr>
      <w:tr w:rsidR="00284B81" w:rsidRPr="00284B81" w:rsidTr="001F663F">
        <w:trPr>
          <w:trHeight w:val="215"/>
        </w:trPr>
        <w:tc>
          <w:tcPr>
            <w:tcW w:w="1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January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107,951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0.3 ± 1.7;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0.2 [-0.3, 0.8]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29.0 ± 11.9;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28.6 [20.7, 36.4]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February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108,059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0.3 ± 1.7;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[-0.3, 0.8]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28.2 ± 12.0;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27.5 [20.0, 35.8]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March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110,058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0.3 ± 1.7;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[-0.3, 0.8]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28.0 ± 11.7;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27.3 [19.6, 34.9]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April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109,984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0.3 ± 1.6;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[-0.3, 0.8]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27.2 ± 11.6;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26.3 [18.9, 34.5]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May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112,037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0.3 ± 1.6;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[-0.3, 0.7]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26.6 ± 11.5;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25.5 [18.4, 33.8]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June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112,670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0.2 ± 1.6;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[-0.3, 0.7]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26.3 ± 11.2;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25.7 [18.8, 33.3]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July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113,449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0.2 ± 1.6;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[-0.3, 0.7]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26.1 ± 11.0;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25.5 [18.2, 33.3]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August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115,081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0.2 ± 1.6;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[-0.3, 0.7]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25.7 ± 11.0;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25.0 [18.1, 32.5]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September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114,504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0.3 ± 1.6;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[-0.3, 0.7]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26.3 ± 11.3;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25.6 [18.3, 33.3]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October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115,503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0.3 ± 1.6;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[-0.3, 0.7]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26.7 ± 11.0;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26.0 [18.8, 33.3]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November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115,587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0.3 ± 1.6;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[-0.3, 0.8]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27.3 ± 11.7;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26.9 [19.2, 34.6]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December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116,056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0.3 ± 1.6;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[-0.3, 0.8]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26.9 ± 11.5;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26.3 [18.8, 34.0]</w:t>
            </w:r>
          </w:p>
        </w:tc>
      </w:tr>
      <w:tr w:rsidR="00284B81" w:rsidRPr="00284B81" w:rsidTr="001F663F"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Annual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152,196</w:t>
            </w:r>
          </w:p>
        </w:tc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0.3 ± 1.2;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0.1 [-0.2, 0.6]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27.1 ± 9.7; </w:t>
            </w:r>
          </w:p>
          <w:p w:rsidR="00284B81" w:rsidRPr="00284B81" w:rsidRDefault="00284B81" w:rsidP="00284B81">
            <w:pPr>
              <w:spacing w:line="240" w:lineRule="auto"/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26.4 [20.3, 32.9]</w:t>
            </w:r>
          </w:p>
        </w:tc>
      </w:tr>
    </w:tbl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  <w:r w:rsidRPr="00284B81">
        <w:rPr>
          <w:rFonts w:ascii="Arial" w:eastAsia="Calibri" w:hAnsi="Arial" w:cs="Arial"/>
          <w:sz w:val="18"/>
          <w:szCs w:val="18"/>
          <w:vertAlign w:val="superscript"/>
        </w:rPr>
        <w:t xml:space="preserve">a </w:t>
      </w:r>
      <w:r w:rsidRPr="00284B81">
        <w:rPr>
          <w:rFonts w:ascii="Arial" w:eastAsia="Calibri" w:hAnsi="Arial" w:cs="Arial"/>
          <w:sz w:val="18"/>
          <w:szCs w:val="18"/>
        </w:rPr>
        <w:t xml:space="preserve">Values presented as means ± SDs; medians [quartile 1, quartile 3]. </w:t>
      </w: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>
      <w:pPr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br w:type="page"/>
      </w:r>
    </w:p>
    <w:p w:rsidR="00284B81" w:rsidRPr="00284B81" w:rsidRDefault="00284B81" w:rsidP="00284B81">
      <w:pPr>
        <w:spacing w:after="60" w:line="240" w:lineRule="auto"/>
        <w:ind w:firstLine="0"/>
        <w:rPr>
          <w:rFonts w:ascii="Arial" w:eastAsia="Calibri" w:hAnsi="Arial" w:cs="Arial"/>
        </w:rPr>
      </w:pPr>
      <w:r w:rsidRPr="00284B81">
        <w:rPr>
          <w:rFonts w:ascii="Arial" w:eastAsia="Calibri" w:hAnsi="Arial" w:cs="Arial"/>
          <w:b/>
        </w:rPr>
        <w:lastRenderedPageBreak/>
        <w:t xml:space="preserve">Table </w:t>
      </w:r>
      <w:r w:rsidR="00DE1C1F">
        <w:rPr>
          <w:rFonts w:ascii="Arial" w:eastAsia="Calibri" w:hAnsi="Arial" w:cs="Arial"/>
          <w:b/>
        </w:rPr>
        <w:t>S</w:t>
      </w:r>
      <w:r w:rsidRPr="00284B81">
        <w:rPr>
          <w:rFonts w:ascii="Arial" w:eastAsia="Calibri" w:hAnsi="Arial" w:cs="Arial"/>
          <w:b/>
        </w:rPr>
        <w:t xml:space="preserve">4. </w:t>
      </w:r>
      <w:r w:rsidRPr="00284B81">
        <w:rPr>
          <w:rFonts w:ascii="Arial" w:eastAsia="Calibri" w:hAnsi="Arial" w:cs="Arial"/>
        </w:rPr>
        <w:t>Patient-level post-dialysis and target weight difference on a monthly basis stratified by above and below target weight categorization.</w:t>
      </w:r>
      <w:r w:rsidRPr="00284B81">
        <w:rPr>
          <w:rFonts w:ascii="Arial" w:eastAsia="Calibri" w:hAnsi="Arial" w:cs="Arial"/>
          <w:vertAlign w:val="superscript"/>
        </w:rPr>
        <w:t>a</w:t>
      </w:r>
    </w:p>
    <w:tbl>
      <w:tblPr>
        <w:tblStyle w:val="TableGrid"/>
        <w:tblW w:w="11007" w:type="dxa"/>
        <w:tblLook w:val="04A0"/>
      </w:tblPr>
      <w:tblGrid>
        <w:gridCol w:w="1440"/>
        <w:gridCol w:w="1800"/>
        <w:gridCol w:w="2983"/>
        <w:gridCol w:w="1800"/>
        <w:gridCol w:w="2984"/>
      </w:tblGrid>
      <w:tr w:rsidR="00284B81" w:rsidRPr="00284B81" w:rsidTr="001F663F">
        <w:trPr>
          <w:trHeight w:val="289"/>
        </w:trPr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783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 xml:space="preserve">≥1 kg </w:t>
            </w:r>
            <w:r w:rsidRPr="00284B81">
              <w:rPr>
                <w:rFonts w:ascii="Arial" w:eastAsia="Calibri" w:hAnsi="Arial" w:cs="Arial"/>
                <w:b/>
                <w:i/>
                <w:sz w:val="20"/>
                <w:szCs w:val="20"/>
              </w:rPr>
              <w:t>below</w:t>
            </w: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 xml:space="preserve"> target weight</w:t>
            </w:r>
          </w:p>
        </w:tc>
        <w:tc>
          <w:tcPr>
            <w:tcW w:w="478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 xml:space="preserve">≥1 kg </w:t>
            </w:r>
            <w:r w:rsidRPr="00284B81">
              <w:rPr>
                <w:rFonts w:ascii="Arial" w:eastAsia="Calibri" w:hAnsi="Arial" w:cs="Arial"/>
                <w:b/>
                <w:i/>
                <w:sz w:val="20"/>
                <w:szCs w:val="20"/>
              </w:rPr>
              <w:t>above</w:t>
            </w: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 xml:space="preserve"> target weight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2983" w:type="dxa"/>
            <w:tcBorders>
              <w:left w:val="nil"/>
              <w:bottom w:val="single" w:sz="4" w:space="0" w:color="auto"/>
            </w:tcBorders>
            <w:vAlign w:val="bottom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Post-dialysis and target weight difference (kg)</w:t>
            </w:r>
          </w:p>
        </w:tc>
        <w:tc>
          <w:tcPr>
            <w:tcW w:w="1800" w:type="dxa"/>
            <w:tcBorders>
              <w:bottom w:val="single" w:sz="4" w:space="0" w:color="auto"/>
              <w:right w:val="nil"/>
            </w:tcBorders>
            <w:vAlign w:val="bottom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298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b/>
                <w:sz w:val="20"/>
                <w:szCs w:val="20"/>
              </w:rPr>
              <w:t>Post-dialysis and target weight difference (kg)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January</w:t>
            </w:r>
          </w:p>
        </w:tc>
        <w:tc>
          <w:tcPr>
            <w:tcW w:w="1800" w:type="dxa"/>
            <w:tcBorders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9,451</w:t>
            </w:r>
          </w:p>
        </w:tc>
        <w:tc>
          <w:tcPr>
            <w:tcW w:w="2983" w:type="dxa"/>
            <w:tcBorders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-2.5 ± 2.1;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-1.8 [-2.8, -1.3]</w:t>
            </w:r>
          </w:p>
        </w:tc>
        <w:tc>
          <w:tcPr>
            <w:tcW w:w="1800" w:type="dxa"/>
            <w:tcBorders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22,800</w:t>
            </w:r>
          </w:p>
        </w:tc>
        <w:tc>
          <w:tcPr>
            <w:tcW w:w="2984" w:type="dxa"/>
            <w:tcBorders>
              <w:left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1.9 [1.3, 2.8]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February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9,276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-2.4 ± 1.9;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-1.8 [-2.8, -1.3]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22,066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1.8 [1.3, 2.8]</w:t>
            </w:r>
          </w:p>
        </w:tc>
      </w:tr>
      <w:tr w:rsidR="00284B81" w:rsidRPr="00284B81" w:rsidTr="001F663F">
        <w:trPr>
          <w:trHeight w:val="56"/>
        </w:trPr>
        <w:tc>
          <w:tcPr>
            <w:tcW w:w="1440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March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9,655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-2.5 ± 2.0;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-1.8 [-2.9, -1.3]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21,943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1.8 [1.3, 2.8]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April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9,681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-2.5 ± 2.0;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-1.8 [-2.8, -1.3]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21,021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1.8 [1.3, 2.7]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May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9,951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-2.4 ± 1.9;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-1.8 [-2.8, -1.3]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20,678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1.7;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1.8 [1.3, 2.8]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June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10,298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-2.4 ± 1.9;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-1.7 [-2.7, -1.3]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20,160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1.8 [1.3, 2.7]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July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10,638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-1.7 [-2.7, -1.3]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19,812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1.7;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1.8 [1.3, 2.7]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August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10,226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-2.3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-1.7 [-2.7, -1.3]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20,231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1.8 [1.3, 2.7]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September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9,778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-2.4 ± 1.9;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-1.7 [-2.7, -1.3]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21,131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1.8 [1.3, 2.8]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October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9,466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-1.8 [-2.8, -1.3]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22,118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1.8 [1.3, 2.7]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November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9,517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-1.7 [-2.7, -1.3]</w:t>
            </w:r>
          </w:p>
        </w:tc>
        <w:tc>
          <w:tcPr>
            <w:tcW w:w="1800" w:type="dxa"/>
            <w:tcBorders>
              <w:top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22,971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1.8 [1.3, 2.8]</w:t>
            </w:r>
          </w:p>
        </w:tc>
      </w:tr>
      <w:tr w:rsidR="00284B81" w:rsidRPr="00284B81" w:rsidTr="001F663F">
        <w:trPr>
          <w:trHeight w:val="289"/>
        </w:trPr>
        <w:tc>
          <w:tcPr>
            <w:tcW w:w="1440" w:type="dxa"/>
            <w:tcBorders>
              <w:top w:val="nil"/>
              <w:left w:val="nil"/>
            </w:tcBorders>
            <w:vAlign w:val="center"/>
          </w:tcPr>
          <w:p w:rsidR="00284B81" w:rsidRPr="00284B81" w:rsidRDefault="00284B81" w:rsidP="00284B81">
            <w:pPr>
              <w:ind w:firstLine="0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sz w:val="20"/>
                <w:szCs w:val="20"/>
              </w:rPr>
              <w:t>December</w:t>
            </w:r>
          </w:p>
        </w:tc>
        <w:tc>
          <w:tcPr>
            <w:tcW w:w="1800" w:type="dxa"/>
            <w:tcBorders>
              <w:top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9,544</w:t>
            </w:r>
          </w:p>
        </w:tc>
        <w:tc>
          <w:tcPr>
            <w:tcW w:w="2983" w:type="dxa"/>
            <w:tcBorders>
              <w:top w:val="nil"/>
              <w:lef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-2.4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-1.7 [-2.7, -1.3]</w:t>
            </w:r>
          </w:p>
        </w:tc>
        <w:tc>
          <w:tcPr>
            <w:tcW w:w="1800" w:type="dxa"/>
            <w:tcBorders>
              <w:top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22,368</w:t>
            </w:r>
          </w:p>
        </w:tc>
        <w:tc>
          <w:tcPr>
            <w:tcW w:w="2984" w:type="dxa"/>
            <w:tcBorders>
              <w:top w:val="nil"/>
              <w:left w:val="nil"/>
              <w:right w:val="nil"/>
            </w:tcBorders>
            <w:vAlign w:val="center"/>
          </w:tcPr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2.4 ± 1.8; </w:t>
            </w:r>
          </w:p>
          <w:p w:rsidR="00284B81" w:rsidRPr="00284B81" w:rsidRDefault="00284B81" w:rsidP="00284B81">
            <w:pPr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84B81">
              <w:rPr>
                <w:rFonts w:ascii="Arial" w:eastAsia="Calibri" w:hAnsi="Arial" w:cs="Arial"/>
                <w:color w:val="000000"/>
                <w:sz w:val="20"/>
                <w:szCs w:val="20"/>
              </w:rPr>
              <w:t>1.8 [1.3, 2.7]</w:t>
            </w:r>
          </w:p>
        </w:tc>
      </w:tr>
    </w:tbl>
    <w:p w:rsidR="00284B81" w:rsidRP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  <w:r w:rsidRPr="00284B81">
        <w:rPr>
          <w:rFonts w:ascii="Arial" w:eastAsia="Calibri" w:hAnsi="Arial" w:cs="Arial"/>
          <w:sz w:val="18"/>
          <w:szCs w:val="18"/>
          <w:vertAlign w:val="superscript"/>
        </w:rPr>
        <w:t xml:space="preserve">a </w:t>
      </w:r>
      <w:r w:rsidRPr="00284B81">
        <w:rPr>
          <w:rFonts w:ascii="Arial" w:eastAsia="Calibri" w:hAnsi="Arial" w:cs="Arial"/>
          <w:sz w:val="18"/>
          <w:szCs w:val="18"/>
        </w:rPr>
        <w:t xml:space="preserve">Values presented as means ± SDs; medians [quartile 1, quartile 3]. </w:t>
      </w: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E25921">
      <w:pPr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>
      <w:pPr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br w:type="page"/>
      </w:r>
      <w:bookmarkStart w:id="0" w:name="_GoBack"/>
      <w:bookmarkEnd w:id="0"/>
    </w:p>
    <w:p w:rsidR="00284B81" w:rsidRP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Pr="00284B81" w:rsidRDefault="00284B81" w:rsidP="00284B81">
      <w:pPr>
        <w:spacing w:after="200" w:line="276" w:lineRule="auto"/>
        <w:ind w:firstLine="0"/>
        <w:rPr>
          <w:rFonts w:ascii="Arial" w:eastAsia="Calibri" w:hAnsi="Arial" w:cs="Arial"/>
        </w:rPr>
      </w:pPr>
      <w:r w:rsidRPr="00284B81">
        <w:rPr>
          <w:rFonts w:ascii="Arial" w:eastAsia="Calibri" w:hAnsi="Arial" w:cs="Arial"/>
          <w:b/>
        </w:rPr>
        <w:t xml:space="preserve">Figure </w:t>
      </w:r>
      <w:r w:rsidR="00DE1C1F">
        <w:rPr>
          <w:rFonts w:ascii="Arial" w:eastAsia="Calibri" w:hAnsi="Arial" w:cs="Arial"/>
          <w:b/>
        </w:rPr>
        <w:t>S</w:t>
      </w:r>
      <w:r w:rsidRPr="00284B81">
        <w:rPr>
          <w:rFonts w:ascii="Arial" w:eastAsia="Calibri" w:hAnsi="Arial" w:cs="Arial"/>
          <w:b/>
        </w:rPr>
        <w:t xml:space="preserve">1. </w:t>
      </w:r>
      <w:r w:rsidRPr="00284B81">
        <w:rPr>
          <w:rFonts w:ascii="Arial" w:eastAsia="Calibri" w:hAnsi="Arial" w:cs="Arial"/>
        </w:rPr>
        <w:t>The monthly mean facility target weight measure scores across 2012.</w:t>
      </w:r>
    </w:p>
    <w:p w:rsidR="00284B81" w:rsidRPr="00284B81" w:rsidRDefault="00284B81" w:rsidP="00284B81">
      <w:pPr>
        <w:spacing w:after="200" w:line="276" w:lineRule="auto"/>
        <w:ind w:firstLine="0"/>
        <w:rPr>
          <w:rFonts w:ascii="Arial" w:eastAsia="Calibri" w:hAnsi="Arial" w:cs="Arial"/>
        </w:rPr>
      </w:pPr>
    </w:p>
    <w:p w:rsidR="00284B81" w:rsidRPr="00284B81" w:rsidRDefault="00284B81" w:rsidP="00284B81">
      <w:pPr>
        <w:spacing w:after="200" w:line="276" w:lineRule="auto"/>
        <w:ind w:firstLine="0"/>
        <w:jc w:val="center"/>
        <w:rPr>
          <w:rFonts w:ascii="Arial" w:eastAsia="Calibri" w:hAnsi="Arial" w:cs="Arial"/>
        </w:rPr>
      </w:pPr>
      <w:r w:rsidRPr="00284B81">
        <w:rPr>
          <w:rFonts w:ascii="Arial" w:eastAsia="Calibri" w:hAnsi="Arial" w:cs="Arial"/>
          <w:noProof/>
        </w:rPr>
        <w:drawing>
          <wp:inline distT="0" distB="0" distL="0" distR="0">
            <wp:extent cx="5742432" cy="395483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3_Monthly measure scores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206" cy="39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B81" w:rsidRPr="00284B81" w:rsidRDefault="00284B81" w:rsidP="00284B81">
      <w:pPr>
        <w:spacing w:after="200" w:line="276" w:lineRule="auto"/>
        <w:ind w:firstLine="0"/>
        <w:rPr>
          <w:rFonts w:ascii="Arial" w:eastAsia="Calibri" w:hAnsi="Arial" w:cs="Arial"/>
        </w:rPr>
      </w:pPr>
    </w:p>
    <w:p w:rsidR="00284B81" w:rsidRPr="00284B81" w:rsidRDefault="00284B81" w:rsidP="00284B81">
      <w:pPr>
        <w:spacing w:after="200" w:line="276" w:lineRule="auto"/>
        <w:ind w:firstLine="0"/>
        <w:rPr>
          <w:rFonts w:ascii="Arial" w:eastAsia="Calibri" w:hAnsi="Arial" w:cs="Arial"/>
        </w:rPr>
      </w:pPr>
    </w:p>
    <w:p w:rsidR="00284B81" w:rsidRPr="00284B81" w:rsidRDefault="00284B81" w:rsidP="00284B81">
      <w:pPr>
        <w:spacing w:after="200" w:line="276" w:lineRule="auto"/>
        <w:ind w:firstLine="0"/>
        <w:rPr>
          <w:rFonts w:ascii="Arial" w:eastAsia="Calibri" w:hAnsi="Arial" w:cs="Arial"/>
          <w:sz w:val="18"/>
          <w:szCs w:val="18"/>
        </w:rPr>
      </w:pPr>
      <w:r w:rsidRPr="00284B81">
        <w:rPr>
          <w:rFonts w:ascii="Arial" w:eastAsia="Calibri" w:hAnsi="Arial" w:cs="Arial"/>
          <w:sz w:val="18"/>
          <w:szCs w:val="18"/>
          <w:vertAlign w:val="superscript"/>
        </w:rPr>
        <w:t>a</w:t>
      </w:r>
      <w:r w:rsidRPr="00284B81">
        <w:rPr>
          <w:rFonts w:ascii="Arial" w:eastAsia="Calibri" w:hAnsi="Arial" w:cs="Arial"/>
          <w:sz w:val="18"/>
          <w:szCs w:val="18"/>
        </w:rPr>
        <w:t xml:space="preserve"> Missed target weight defined as average post-dialysis weight ≥1 kg above or below prescribed target weight in the calculation period (week of the monthly Kt/V assessment).</w:t>
      </w: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eastAsia="Calibri" w:hAnsi="Arial" w:cs="Arial"/>
          <w:sz w:val="18"/>
          <w:szCs w:val="18"/>
        </w:rPr>
      </w:pPr>
    </w:p>
    <w:p w:rsidR="00284B81" w:rsidRPr="00284B81" w:rsidRDefault="00284B81" w:rsidP="009629D3">
      <w:pPr>
        <w:ind w:firstLine="0"/>
        <w:rPr>
          <w:rFonts w:ascii="Arial" w:eastAsia="Calibri" w:hAnsi="Arial" w:cs="Arial"/>
          <w:sz w:val="18"/>
          <w:szCs w:val="18"/>
        </w:rPr>
      </w:pPr>
    </w:p>
    <w:p w:rsidR="00284B81" w:rsidRDefault="00284B81" w:rsidP="00284B81">
      <w:pPr>
        <w:spacing w:line="240" w:lineRule="auto"/>
        <w:ind w:firstLine="0"/>
        <w:rPr>
          <w:rFonts w:ascii="Arial" w:hAnsi="Arial" w:cs="Arial"/>
          <w:b/>
          <w:u w:val="single"/>
        </w:rPr>
      </w:pPr>
    </w:p>
    <w:p w:rsidR="00284B81" w:rsidRDefault="00284B81" w:rsidP="00284B81">
      <w:pPr>
        <w:spacing w:line="240" w:lineRule="auto"/>
        <w:ind w:firstLine="0"/>
        <w:rPr>
          <w:rFonts w:ascii="Arial" w:hAnsi="Arial" w:cs="Arial"/>
          <w:b/>
          <w:u w:val="single"/>
        </w:rPr>
      </w:pPr>
    </w:p>
    <w:p w:rsidR="00284B81" w:rsidRDefault="00284B81" w:rsidP="00284B81">
      <w:pPr>
        <w:spacing w:line="240" w:lineRule="auto"/>
        <w:ind w:firstLine="0"/>
        <w:rPr>
          <w:rFonts w:ascii="Arial" w:hAnsi="Arial" w:cs="Arial"/>
          <w:b/>
          <w:u w:val="single"/>
        </w:rPr>
      </w:pPr>
    </w:p>
    <w:p w:rsidR="00284B81" w:rsidRPr="00284B81" w:rsidRDefault="00284B81" w:rsidP="00284B81">
      <w:pPr>
        <w:spacing w:line="240" w:lineRule="auto"/>
        <w:ind w:firstLine="0"/>
        <w:rPr>
          <w:rFonts w:ascii="Arial" w:hAnsi="Arial" w:cs="Arial"/>
          <w:b/>
          <w:u w:val="single"/>
        </w:rPr>
      </w:pPr>
    </w:p>
    <w:sectPr w:rsidR="00284B81" w:rsidRPr="00284B81" w:rsidSect="00284B81"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0D1" w:rsidRDefault="005670D1" w:rsidP="00284B81">
      <w:pPr>
        <w:spacing w:line="240" w:lineRule="auto"/>
      </w:pPr>
      <w:r>
        <w:separator/>
      </w:r>
    </w:p>
  </w:endnote>
  <w:endnote w:type="continuationSeparator" w:id="0">
    <w:p w:rsidR="005670D1" w:rsidRDefault="005670D1" w:rsidP="00284B8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086435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:rsidR="00284B81" w:rsidRPr="00284B81" w:rsidRDefault="00284B81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284B81">
          <w:rPr>
            <w:rFonts w:ascii="Arial" w:hAnsi="Arial" w:cs="Arial"/>
            <w:sz w:val="18"/>
            <w:szCs w:val="18"/>
          </w:rPr>
          <w:t xml:space="preserve">Flythe, </w:t>
        </w:r>
        <w:r w:rsidRPr="00284B81">
          <w:rPr>
            <w:rFonts w:ascii="Arial" w:hAnsi="Arial" w:cs="Arial"/>
            <w:i/>
            <w:sz w:val="18"/>
            <w:szCs w:val="18"/>
          </w:rPr>
          <w:t>et al</w:t>
        </w:r>
        <w:r w:rsidRPr="00284B81">
          <w:rPr>
            <w:rFonts w:ascii="Arial" w:hAnsi="Arial" w:cs="Arial"/>
            <w:sz w:val="18"/>
            <w:szCs w:val="18"/>
          </w:rPr>
          <w:t xml:space="preserve">. Target weight achievement and ultrafiltration rate thresholds. Supplement </w:t>
        </w:r>
        <w:r w:rsidR="00FD58F6" w:rsidRPr="00284B81">
          <w:rPr>
            <w:rFonts w:ascii="Arial" w:hAnsi="Arial" w:cs="Arial"/>
            <w:sz w:val="18"/>
            <w:szCs w:val="18"/>
          </w:rPr>
          <w:fldChar w:fldCharType="begin"/>
        </w:r>
        <w:r w:rsidRPr="00284B81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="00FD58F6" w:rsidRPr="00284B81">
          <w:rPr>
            <w:rFonts w:ascii="Arial" w:hAnsi="Arial" w:cs="Arial"/>
            <w:sz w:val="18"/>
            <w:szCs w:val="18"/>
          </w:rPr>
          <w:fldChar w:fldCharType="separate"/>
        </w:r>
        <w:r w:rsidR="00DE1C1F">
          <w:rPr>
            <w:rFonts w:ascii="Arial" w:hAnsi="Arial" w:cs="Arial"/>
            <w:noProof/>
            <w:sz w:val="18"/>
            <w:szCs w:val="18"/>
          </w:rPr>
          <w:t>5</w:t>
        </w:r>
        <w:r w:rsidR="00FD58F6" w:rsidRPr="00284B81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:rsidR="00284B81" w:rsidRDefault="00284B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0D1" w:rsidRDefault="005670D1" w:rsidP="00284B81">
      <w:pPr>
        <w:spacing w:line="240" w:lineRule="auto"/>
      </w:pPr>
      <w:r>
        <w:separator/>
      </w:r>
    </w:p>
  </w:footnote>
  <w:footnote w:type="continuationSeparator" w:id="0">
    <w:p w:rsidR="005670D1" w:rsidRDefault="005670D1" w:rsidP="00284B8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Total_Editing_Time" w:val="17"/>
  </w:docVars>
  <w:rsids>
    <w:rsidRoot w:val="00284B81"/>
    <w:rsid w:val="00284B81"/>
    <w:rsid w:val="00437A2F"/>
    <w:rsid w:val="004709AA"/>
    <w:rsid w:val="005670D1"/>
    <w:rsid w:val="006266B5"/>
    <w:rsid w:val="006F1837"/>
    <w:rsid w:val="007A103A"/>
    <w:rsid w:val="007D1E8E"/>
    <w:rsid w:val="009629D3"/>
    <w:rsid w:val="00964014"/>
    <w:rsid w:val="00995D57"/>
    <w:rsid w:val="009D480B"/>
    <w:rsid w:val="00AD48BA"/>
    <w:rsid w:val="00C354C4"/>
    <w:rsid w:val="00C80823"/>
    <w:rsid w:val="00DE1C1F"/>
    <w:rsid w:val="00E25921"/>
    <w:rsid w:val="00E83471"/>
    <w:rsid w:val="00EF75D2"/>
    <w:rsid w:val="00FD56C1"/>
    <w:rsid w:val="00FD5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8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6266B5"/>
    <w:pPr>
      <w:autoSpaceDE w:val="0"/>
      <w:autoSpaceDN w:val="0"/>
    </w:pPr>
    <w:rPr>
      <w:rFonts w:ascii="Arial" w:eastAsia="Times New Roman" w:hAnsi="Arial" w:cs="Arial"/>
      <w:noProof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6266B5"/>
    <w:rPr>
      <w:rFonts w:ascii="Arial" w:eastAsia="Times New Roman" w:hAnsi="Arial" w:cs="Arial"/>
      <w:noProof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6F1837"/>
    <w:pPr>
      <w:autoSpaceDE w:val="0"/>
      <w:autoSpaceDN w:val="0"/>
      <w:jc w:val="center"/>
    </w:pPr>
    <w:rPr>
      <w:rFonts w:ascii="Arial" w:eastAsia="Times New Roman" w:hAnsi="Arial" w:cs="Arial"/>
      <w:noProof/>
      <w:szCs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F1837"/>
    <w:rPr>
      <w:rFonts w:ascii="Arial" w:eastAsia="Times New Roman" w:hAnsi="Arial" w:cs="Arial"/>
      <w:noProof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C354C4"/>
    <w:rPr>
      <w:vertAlign w:val="superscript"/>
    </w:rPr>
  </w:style>
  <w:style w:type="paragraph" w:styleId="EndnoteText">
    <w:name w:val="endnote text"/>
    <w:basedOn w:val="BodyText"/>
    <w:link w:val="EndnoteTextChar"/>
    <w:uiPriority w:val="99"/>
    <w:unhideWhenUsed/>
    <w:rsid w:val="00C354C4"/>
    <w:pPr>
      <w:spacing w:before="24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354C4"/>
    <w:rPr>
      <w:rFonts w:asciiTheme="minorHAnsi" w:eastAsiaTheme="minorEastAsia" w:hAnsiTheme="minorHAnsi" w:cstheme="minorBidi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C354C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354C4"/>
  </w:style>
  <w:style w:type="paragraph" w:styleId="Header">
    <w:name w:val="header"/>
    <w:basedOn w:val="Normal"/>
    <w:link w:val="HeaderChar"/>
    <w:uiPriority w:val="99"/>
    <w:unhideWhenUsed/>
    <w:rsid w:val="00284B8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B81"/>
  </w:style>
  <w:style w:type="paragraph" w:styleId="Footer">
    <w:name w:val="footer"/>
    <w:basedOn w:val="Normal"/>
    <w:link w:val="FooterChar"/>
    <w:uiPriority w:val="99"/>
    <w:unhideWhenUsed/>
    <w:rsid w:val="00284B8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B81"/>
  </w:style>
  <w:style w:type="table" w:styleId="TableGrid">
    <w:name w:val="Table Grid"/>
    <w:basedOn w:val="TableNormal"/>
    <w:uiPriority w:val="39"/>
    <w:rsid w:val="00284B8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284B8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1C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1423</Words>
  <Characters>7219</Characters>
  <Application>Microsoft Office Word</Application>
  <DocSecurity>0</DocSecurity>
  <Lines>515</Lines>
  <Paragraphs>454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Chapel Hill</Company>
  <LinksUpToDate>false</LinksUpToDate>
  <CharactersWithSpaces>8188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Flythe</dc:creator>
  <cp:keywords/>
  <dc:description/>
  <cp:lastModifiedBy>CABEJERO</cp:lastModifiedBy>
  <cp:revision>9</cp:revision>
  <dcterms:created xsi:type="dcterms:W3CDTF">2016-10-12T19:13:00Z</dcterms:created>
  <dcterms:modified xsi:type="dcterms:W3CDTF">2017-05-22T02:02:00Z</dcterms:modified>
</cp:coreProperties>
</file>