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95FCD" w14:textId="608A6D4F" w:rsidR="00B960BD" w:rsidRPr="00B82AEE" w:rsidRDefault="00B960BD" w:rsidP="00C71F9A">
      <w:pPr>
        <w:spacing w:after="0" w:line="480" w:lineRule="auto"/>
        <w:jc w:val="both"/>
        <w:rPr>
          <w:rFonts w:ascii="Arial" w:hAnsi="Arial" w:cs="Arial"/>
          <w:b/>
        </w:rPr>
      </w:pPr>
      <w:r w:rsidRPr="00B82AEE">
        <w:rPr>
          <w:rFonts w:ascii="Arial" w:hAnsi="Arial" w:cs="Arial"/>
          <w:b/>
        </w:rPr>
        <w:t>Supplemental Results</w:t>
      </w:r>
    </w:p>
    <w:p w14:paraId="755B9C37" w14:textId="77777777" w:rsidR="004F023C" w:rsidRPr="00B82AEE" w:rsidRDefault="004F023C" w:rsidP="00C71F9A">
      <w:pPr>
        <w:spacing w:after="0" w:line="480" w:lineRule="auto"/>
        <w:rPr>
          <w:rFonts w:ascii="Arial" w:hAnsi="Arial" w:cs="Arial"/>
          <w:u w:val="single"/>
        </w:rPr>
      </w:pPr>
      <w:r w:rsidRPr="00B82AEE">
        <w:rPr>
          <w:rFonts w:ascii="Arial" w:hAnsi="Arial" w:cs="Arial"/>
          <w:u w:val="single"/>
        </w:rPr>
        <w:t>Confirmation of Decreased Language Abilities for High-risk Siblings with ASD</w:t>
      </w:r>
    </w:p>
    <w:p w14:paraId="4CDDEE6B" w14:textId="1B04B82D" w:rsidR="00E106A1" w:rsidRPr="00B82AEE" w:rsidRDefault="00C71176" w:rsidP="00C71F9A">
      <w:pPr>
        <w:spacing w:after="0" w:line="480" w:lineRule="auto"/>
        <w:ind w:firstLine="720"/>
        <w:jc w:val="both"/>
        <w:rPr>
          <w:rFonts w:ascii="Arial" w:hAnsi="Arial" w:cs="Arial"/>
        </w:rPr>
      </w:pPr>
      <w:r w:rsidRPr="00B82AEE">
        <w:rPr>
          <w:rFonts w:ascii="Arial" w:hAnsi="Arial" w:cs="Arial"/>
        </w:rPr>
        <w:t xml:space="preserve">Work from multiple infant sibling samples has shown decreased levels of language in high-risk siblings with ASD (HR-ASD siblings) versus </w:t>
      </w:r>
      <w:r w:rsidR="00F91D00" w:rsidRPr="00B82AEE">
        <w:rPr>
          <w:rFonts w:ascii="Arial" w:hAnsi="Arial" w:cs="Arial"/>
        </w:rPr>
        <w:t xml:space="preserve">high-risk </w:t>
      </w:r>
      <w:r w:rsidRPr="00B82AEE">
        <w:rPr>
          <w:rFonts w:ascii="Arial" w:hAnsi="Arial" w:cs="Arial"/>
        </w:rPr>
        <w:t xml:space="preserve">siblings without ASD </w:t>
      </w:r>
      <w:r w:rsidR="00F91D00" w:rsidRPr="00B82AEE">
        <w:rPr>
          <w:rFonts w:ascii="Arial" w:hAnsi="Arial" w:cs="Arial"/>
        </w:rPr>
        <w:t>(HR-</w:t>
      </w:r>
      <w:proofErr w:type="spellStart"/>
      <w:r w:rsidR="00F91D00" w:rsidRPr="00B82AEE">
        <w:rPr>
          <w:rFonts w:ascii="Arial" w:hAnsi="Arial" w:cs="Arial"/>
        </w:rPr>
        <w:t>noASD</w:t>
      </w:r>
      <w:proofErr w:type="spellEnd"/>
      <w:r w:rsidR="00F91D00" w:rsidRPr="00B82AEE">
        <w:rPr>
          <w:rFonts w:ascii="Arial" w:hAnsi="Arial" w:cs="Arial"/>
        </w:rPr>
        <w:t xml:space="preserve"> siblings) </w:t>
      </w:r>
      <w:r w:rsidRPr="00B82AEE">
        <w:rPr>
          <w:rFonts w:ascii="Arial" w:hAnsi="Arial" w:cs="Arial"/>
        </w:rPr>
        <w:t xml:space="preserve">[1-3]. </w:t>
      </w:r>
      <w:r w:rsidR="00781DEE" w:rsidRPr="00B82AEE">
        <w:rPr>
          <w:rFonts w:ascii="Arial" w:hAnsi="Arial" w:cs="Arial"/>
        </w:rPr>
        <w:t>To formally test in the IBIS sample whether high-risk siblings with ASD (HR-ASD siblings) show lower language abilities than HR-</w:t>
      </w:r>
      <w:proofErr w:type="spellStart"/>
      <w:r w:rsidR="00781DEE" w:rsidRPr="00B82AEE">
        <w:rPr>
          <w:rFonts w:ascii="Arial" w:hAnsi="Arial" w:cs="Arial"/>
        </w:rPr>
        <w:t>noASD</w:t>
      </w:r>
      <w:proofErr w:type="spellEnd"/>
      <w:r w:rsidR="00781DEE" w:rsidRPr="00B82AEE">
        <w:rPr>
          <w:rFonts w:ascii="Arial" w:hAnsi="Arial" w:cs="Arial"/>
        </w:rPr>
        <w:t xml:space="preserve"> siblings, a criterion for an endophenotype, </w:t>
      </w:r>
      <w:r w:rsidR="004F023C" w:rsidRPr="00B82AEE">
        <w:rPr>
          <w:rFonts w:ascii="Arial" w:hAnsi="Arial" w:cs="Arial"/>
        </w:rPr>
        <w:t xml:space="preserve">we performed a sub-analysis </w:t>
      </w:r>
      <w:r w:rsidR="00781DEE" w:rsidRPr="00B82AEE">
        <w:rPr>
          <w:rFonts w:ascii="Arial" w:hAnsi="Arial" w:cs="Arial"/>
        </w:rPr>
        <w:t>comparing</w:t>
      </w:r>
      <w:r w:rsidR="004F023C" w:rsidRPr="00B82AEE">
        <w:rPr>
          <w:rFonts w:ascii="Arial" w:hAnsi="Arial" w:cs="Arial"/>
        </w:rPr>
        <w:t xml:space="preserve"> </w:t>
      </w:r>
      <w:r w:rsidR="00781DEE" w:rsidRPr="00B82AEE">
        <w:rPr>
          <w:rFonts w:ascii="Arial" w:hAnsi="Arial" w:cs="Arial"/>
        </w:rPr>
        <w:t>HR-ASD siblings</w:t>
      </w:r>
      <w:r w:rsidR="005A7CB5" w:rsidRPr="00B82AEE">
        <w:rPr>
          <w:rFonts w:ascii="Arial" w:hAnsi="Arial" w:cs="Arial"/>
        </w:rPr>
        <w:t>,</w:t>
      </w:r>
      <w:r w:rsidR="004F023C" w:rsidRPr="00B82AEE">
        <w:rPr>
          <w:rFonts w:ascii="Arial" w:hAnsi="Arial" w:cs="Arial"/>
        </w:rPr>
        <w:t xml:space="preserve"> who were not </w:t>
      </w:r>
      <w:r w:rsidR="00FB38F1" w:rsidRPr="00B82AEE">
        <w:rPr>
          <w:rFonts w:ascii="Arial" w:hAnsi="Arial" w:cs="Arial"/>
        </w:rPr>
        <w:t>included in</w:t>
      </w:r>
      <w:r w:rsidR="004F023C" w:rsidRPr="00B82AEE">
        <w:rPr>
          <w:rFonts w:ascii="Arial" w:hAnsi="Arial" w:cs="Arial"/>
        </w:rPr>
        <w:t xml:space="preserve"> the primary analyses</w:t>
      </w:r>
      <w:r w:rsidR="005A7CB5" w:rsidRPr="00B82AEE">
        <w:rPr>
          <w:rFonts w:ascii="Arial" w:hAnsi="Arial" w:cs="Arial"/>
        </w:rPr>
        <w:t xml:space="preserve"> (n=61),</w:t>
      </w:r>
      <w:r w:rsidR="00781DEE" w:rsidRPr="00B82AEE">
        <w:rPr>
          <w:rFonts w:ascii="Arial" w:hAnsi="Arial" w:cs="Arial"/>
        </w:rPr>
        <w:t xml:space="preserve"> to HR-</w:t>
      </w:r>
      <w:proofErr w:type="spellStart"/>
      <w:r w:rsidR="00781DEE" w:rsidRPr="00B82AEE">
        <w:rPr>
          <w:rFonts w:ascii="Arial" w:hAnsi="Arial" w:cs="Arial"/>
        </w:rPr>
        <w:t>noASD</w:t>
      </w:r>
      <w:proofErr w:type="spellEnd"/>
      <w:r w:rsidR="00781DEE" w:rsidRPr="00B82AEE">
        <w:rPr>
          <w:rFonts w:ascii="Arial" w:hAnsi="Arial" w:cs="Arial"/>
        </w:rPr>
        <w:t xml:space="preserve"> siblings</w:t>
      </w:r>
      <w:r w:rsidR="004F023C" w:rsidRPr="00B82AEE">
        <w:rPr>
          <w:rFonts w:ascii="Arial" w:hAnsi="Arial" w:cs="Arial"/>
        </w:rPr>
        <w:t>. In keeping with th</w:t>
      </w:r>
      <w:r w:rsidR="00781DEE" w:rsidRPr="00B82AEE">
        <w:rPr>
          <w:rFonts w:ascii="Arial" w:hAnsi="Arial" w:cs="Arial"/>
        </w:rPr>
        <w:t>e anticipated</w:t>
      </w:r>
      <w:r w:rsidR="004F023C" w:rsidRPr="00B82AEE">
        <w:rPr>
          <w:rFonts w:ascii="Arial" w:hAnsi="Arial" w:cs="Arial"/>
        </w:rPr>
        <w:t xml:space="preserve"> </w:t>
      </w:r>
      <w:r w:rsidR="000923B8" w:rsidRPr="00B82AEE">
        <w:rPr>
          <w:rFonts w:ascii="Arial" w:hAnsi="Arial" w:cs="Arial"/>
        </w:rPr>
        <w:t>risk-group relationships</w:t>
      </w:r>
      <w:r w:rsidR="00781DEE" w:rsidRPr="00B82AEE">
        <w:rPr>
          <w:rFonts w:ascii="Arial" w:hAnsi="Arial" w:cs="Arial"/>
        </w:rPr>
        <w:t xml:space="preserve"> for an endophenotype</w:t>
      </w:r>
      <w:r w:rsidR="004F023C" w:rsidRPr="00B82AEE">
        <w:rPr>
          <w:rFonts w:ascii="Arial" w:hAnsi="Arial" w:cs="Arial"/>
        </w:rPr>
        <w:t>, the ASD-affected group showed a greater prevalence of language delay, 60.7% (</w:t>
      </w:r>
      <w:r w:rsidR="004F023C" w:rsidRPr="00B82AEE">
        <w:rPr>
          <w:rFonts w:ascii="Arial" w:hAnsi="Arial" w:cs="Arial"/>
          <w:i/>
        </w:rPr>
        <w:t>χ</w:t>
      </w:r>
      <w:r w:rsidR="004F023C" w:rsidRPr="00B82AEE">
        <w:rPr>
          <w:rFonts w:ascii="Arial" w:hAnsi="Arial" w:cs="Arial"/>
          <w:vertAlign w:val="superscript"/>
        </w:rPr>
        <w:t>2</w:t>
      </w:r>
      <w:r w:rsidR="004F023C" w:rsidRPr="00B82AEE">
        <w:rPr>
          <w:rFonts w:ascii="Arial" w:hAnsi="Arial" w:cs="Arial"/>
        </w:rPr>
        <w:t>(</w:t>
      </w:r>
      <w:proofErr w:type="gramStart"/>
      <w:r w:rsidR="004F023C" w:rsidRPr="00B82AEE">
        <w:rPr>
          <w:rFonts w:ascii="Arial" w:hAnsi="Arial" w:cs="Arial"/>
        </w:rPr>
        <w:t>1)=</w:t>
      </w:r>
      <w:proofErr w:type="gramEnd"/>
      <w:r w:rsidR="004F023C" w:rsidRPr="00B82AEE">
        <w:rPr>
          <w:rFonts w:ascii="Arial" w:hAnsi="Arial" w:cs="Arial"/>
        </w:rPr>
        <w:t xml:space="preserve">59.94, </w:t>
      </w:r>
      <w:r w:rsidR="004F023C" w:rsidRPr="00B82AEE">
        <w:rPr>
          <w:rFonts w:ascii="Arial" w:hAnsi="Arial" w:cs="Arial"/>
          <w:i/>
        </w:rPr>
        <w:t>p</w:t>
      </w:r>
      <w:r w:rsidR="004F023C" w:rsidRPr="00B82AEE">
        <w:rPr>
          <w:rFonts w:ascii="Arial" w:hAnsi="Arial" w:cs="Arial"/>
        </w:rPr>
        <w:t>&lt;.001), than HR-</w:t>
      </w:r>
      <w:proofErr w:type="spellStart"/>
      <w:r w:rsidR="004F023C" w:rsidRPr="00B82AEE">
        <w:rPr>
          <w:rFonts w:ascii="Arial" w:hAnsi="Arial" w:cs="Arial"/>
        </w:rPr>
        <w:t>noASD</w:t>
      </w:r>
      <w:proofErr w:type="spellEnd"/>
      <w:r w:rsidR="004F023C" w:rsidRPr="00B82AEE">
        <w:rPr>
          <w:rFonts w:ascii="Arial" w:hAnsi="Arial" w:cs="Arial"/>
        </w:rPr>
        <w:t xml:space="preserve"> siblings</w:t>
      </w:r>
      <w:r w:rsidR="00C71F9A" w:rsidRPr="00B82AEE">
        <w:rPr>
          <w:rFonts w:ascii="Arial" w:hAnsi="Arial" w:cs="Arial"/>
        </w:rPr>
        <w:t>,</w:t>
      </w:r>
      <w:r w:rsidR="004F023C" w:rsidRPr="00B82AEE">
        <w:rPr>
          <w:rFonts w:ascii="Arial" w:hAnsi="Arial" w:cs="Arial"/>
        </w:rPr>
        <w:t xml:space="preserve"> </w:t>
      </w:r>
      <w:r w:rsidR="00F07895" w:rsidRPr="00B82AEE">
        <w:rPr>
          <w:rFonts w:ascii="Arial" w:hAnsi="Arial" w:cs="Arial"/>
        </w:rPr>
        <w:t xml:space="preserve">with </w:t>
      </w:r>
      <w:r w:rsidR="004F023C" w:rsidRPr="00B82AEE">
        <w:rPr>
          <w:rFonts w:ascii="Arial" w:hAnsi="Arial" w:cs="Arial"/>
        </w:rPr>
        <w:t xml:space="preserve">13.6% language delay. </w:t>
      </w:r>
      <w:r w:rsidR="00781DEE" w:rsidRPr="00B82AEE">
        <w:rPr>
          <w:rFonts w:ascii="Arial" w:hAnsi="Arial" w:cs="Arial"/>
        </w:rPr>
        <w:t xml:space="preserve">Examining receptive and expressive language delay separately revealed similar differences, with </w:t>
      </w:r>
      <w:r w:rsidR="00F07895" w:rsidRPr="00B82AEE">
        <w:rPr>
          <w:rFonts w:ascii="Arial" w:hAnsi="Arial" w:cs="Arial"/>
        </w:rPr>
        <w:t>55</w:t>
      </w:r>
      <w:r w:rsidR="00781DEE" w:rsidRPr="00B82AEE">
        <w:rPr>
          <w:rFonts w:ascii="Arial" w:hAnsi="Arial" w:cs="Arial"/>
        </w:rPr>
        <w:t>.7% of HR-ASD siblings having receptive language delay v</w:t>
      </w:r>
      <w:r w:rsidR="00F07895" w:rsidRPr="00B82AEE">
        <w:rPr>
          <w:rFonts w:ascii="Arial" w:hAnsi="Arial" w:cs="Arial"/>
        </w:rPr>
        <w:t>ersu</w:t>
      </w:r>
      <w:r w:rsidR="00781DEE" w:rsidRPr="00B82AEE">
        <w:rPr>
          <w:rFonts w:ascii="Arial" w:hAnsi="Arial" w:cs="Arial"/>
        </w:rPr>
        <w:t xml:space="preserve">s </w:t>
      </w:r>
      <w:r w:rsidR="00F07895" w:rsidRPr="00B82AEE">
        <w:rPr>
          <w:rFonts w:ascii="Arial" w:hAnsi="Arial" w:cs="Arial"/>
        </w:rPr>
        <w:t>9</w:t>
      </w:r>
      <w:r w:rsidR="00781DEE" w:rsidRPr="00B82AEE">
        <w:rPr>
          <w:rFonts w:ascii="Arial" w:hAnsi="Arial" w:cs="Arial"/>
        </w:rPr>
        <w:t>.</w:t>
      </w:r>
      <w:r w:rsidR="00F07895" w:rsidRPr="00B82AEE">
        <w:rPr>
          <w:rFonts w:ascii="Arial" w:hAnsi="Arial" w:cs="Arial"/>
        </w:rPr>
        <w:t>4</w:t>
      </w:r>
      <w:r w:rsidR="00781DEE" w:rsidRPr="00B82AEE">
        <w:rPr>
          <w:rFonts w:ascii="Arial" w:hAnsi="Arial" w:cs="Arial"/>
        </w:rPr>
        <w:t>% of HR-</w:t>
      </w:r>
      <w:proofErr w:type="spellStart"/>
      <w:r w:rsidR="00781DEE" w:rsidRPr="00B82AEE">
        <w:rPr>
          <w:rFonts w:ascii="Arial" w:hAnsi="Arial" w:cs="Arial"/>
        </w:rPr>
        <w:t>noASD</w:t>
      </w:r>
      <w:proofErr w:type="spellEnd"/>
      <w:r w:rsidR="00781DEE" w:rsidRPr="00B82AEE">
        <w:rPr>
          <w:rFonts w:ascii="Arial" w:hAnsi="Arial" w:cs="Arial"/>
        </w:rPr>
        <w:t xml:space="preserve"> siblings (</w:t>
      </w:r>
      <w:r w:rsidR="00781DEE" w:rsidRPr="00B82AEE">
        <w:rPr>
          <w:rFonts w:ascii="Arial" w:hAnsi="Arial" w:cs="Arial"/>
          <w:i/>
        </w:rPr>
        <w:t>χ</w:t>
      </w:r>
      <w:r w:rsidR="00781DEE" w:rsidRPr="00B82AEE">
        <w:rPr>
          <w:rFonts w:ascii="Arial" w:hAnsi="Arial" w:cs="Arial"/>
          <w:vertAlign w:val="superscript"/>
        </w:rPr>
        <w:t>2</w:t>
      </w:r>
      <w:r w:rsidR="00781DEE" w:rsidRPr="00B82AEE">
        <w:rPr>
          <w:rFonts w:ascii="Arial" w:hAnsi="Arial" w:cs="Arial"/>
        </w:rPr>
        <w:t>(</w:t>
      </w:r>
      <w:proofErr w:type="gramStart"/>
      <w:r w:rsidR="00781DEE" w:rsidRPr="00B82AEE">
        <w:rPr>
          <w:rFonts w:ascii="Arial" w:hAnsi="Arial" w:cs="Arial"/>
        </w:rPr>
        <w:t>1)=</w:t>
      </w:r>
      <w:proofErr w:type="gramEnd"/>
      <w:r w:rsidR="00635070" w:rsidRPr="00B82AEE">
        <w:rPr>
          <w:rFonts w:ascii="Arial" w:hAnsi="Arial" w:cs="Arial"/>
        </w:rPr>
        <w:t>67</w:t>
      </w:r>
      <w:r w:rsidR="00781DEE" w:rsidRPr="00B82AEE">
        <w:rPr>
          <w:rFonts w:ascii="Arial" w:hAnsi="Arial" w:cs="Arial"/>
        </w:rPr>
        <w:t>.9</w:t>
      </w:r>
      <w:r w:rsidR="00635070" w:rsidRPr="00B82AEE">
        <w:rPr>
          <w:rFonts w:ascii="Arial" w:hAnsi="Arial" w:cs="Arial"/>
        </w:rPr>
        <w:t>0</w:t>
      </w:r>
      <w:r w:rsidR="00781DEE" w:rsidRPr="00B82AEE">
        <w:rPr>
          <w:rFonts w:ascii="Arial" w:hAnsi="Arial" w:cs="Arial"/>
        </w:rPr>
        <w:t xml:space="preserve">, </w:t>
      </w:r>
      <w:r w:rsidR="00781DEE" w:rsidRPr="00B82AEE">
        <w:rPr>
          <w:rFonts w:ascii="Arial" w:hAnsi="Arial" w:cs="Arial"/>
          <w:i/>
        </w:rPr>
        <w:t>p</w:t>
      </w:r>
      <w:r w:rsidR="00781DEE" w:rsidRPr="00B82AEE">
        <w:rPr>
          <w:rFonts w:ascii="Arial" w:hAnsi="Arial" w:cs="Arial"/>
        </w:rPr>
        <w:t xml:space="preserve">&lt;.001) and </w:t>
      </w:r>
      <w:r w:rsidR="00F07895" w:rsidRPr="00B82AEE">
        <w:rPr>
          <w:rFonts w:ascii="Arial" w:hAnsi="Arial" w:cs="Arial"/>
        </w:rPr>
        <w:t>32</w:t>
      </w:r>
      <w:r w:rsidR="00781DEE" w:rsidRPr="00B82AEE">
        <w:rPr>
          <w:rFonts w:ascii="Arial" w:hAnsi="Arial" w:cs="Arial"/>
        </w:rPr>
        <w:t>.</w:t>
      </w:r>
      <w:r w:rsidR="00F07895" w:rsidRPr="00B82AEE">
        <w:rPr>
          <w:rFonts w:ascii="Arial" w:hAnsi="Arial" w:cs="Arial"/>
        </w:rPr>
        <w:t>8</w:t>
      </w:r>
      <w:r w:rsidR="00781DEE" w:rsidRPr="00B82AEE">
        <w:rPr>
          <w:rFonts w:ascii="Arial" w:hAnsi="Arial" w:cs="Arial"/>
        </w:rPr>
        <w:t>% of HR-ASD siblings having expressive language delay v</w:t>
      </w:r>
      <w:r w:rsidR="00F07895" w:rsidRPr="00B82AEE">
        <w:rPr>
          <w:rFonts w:ascii="Arial" w:hAnsi="Arial" w:cs="Arial"/>
        </w:rPr>
        <w:t>ersu</w:t>
      </w:r>
      <w:r w:rsidR="00781DEE" w:rsidRPr="00B82AEE">
        <w:rPr>
          <w:rFonts w:ascii="Arial" w:hAnsi="Arial" w:cs="Arial"/>
        </w:rPr>
        <w:t xml:space="preserve">s </w:t>
      </w:r>
      <w:r w:rsidR="00F07895" w:rsidRPr="00B82AEE">
        <w:rPr>
          <w:rFonts w:ascii="Arial" w:hAnsi="Arial" w:cs="Arial"/>
        </w:rPr>
        <w:t>7</w:t>
      </w:r>
      <w:r w:rsidR="00781DEE" w:rsidRPr="00B82AEE">
        <w:rPr>
          <w:rFonts w:ascii="Arial" w:hAnsi="Arial" w:cs="Arial"/>
        </w:rPr>
        <w:t>.</w:t>
      </w:r>
      <w:r w:rsidR="00F07895" w:rsidRPr="00B82AEE">
        <w:rPr>
          <w:rFonts w:ascii="Arial" w:hAnsi="Arial" w:cs="Arial"/>
        </w:rPr>
        <w:t>7</w:t>
      </w:r>
      <w:r w:rsidR="00781DEE" w:rsidRPr="00B82AEE">
        <w:rPr>
          <w:rFonts w:ascii="Arial" w:hAnsi="Arial" w:cs="Arial"/>
        </w:rPr>
        <w:t>% of HR-</w:t>
      </w:r>
      <w:proofErr w:type="spellStart"/>
      <w:r w:rsidR="00781DEE" w:rsidRPr="00B82AEE">
        <w:rPr>
          <w:rFonts w:ascii="Arial" w:hAnsi="Arial" w:cs="Arial"/>
        </w:rPr>
        <w:t>noASD</w:t>
      </w:r>
      <w:proofErr w:type="spellEnd"/>
      <w:r w:rsidR="00781DEE" w:rsidRPr="00B82AEE">
        <w:rPr>
          <w:rFonts w:ascii="Arial" w:hAnsi="Arial" w:cs="Arial"/>
        </w:rPr>
        <w:t xml:space="preserve"> siblings (</w:t>
      </w:r>
      <w:r w:rsidR="00781DEE" w:rsidRPr="00B82AEE">
        <w:rPr>
          <w:rFonts w:ascii="Arial" w:hAnsi="Arial" w:cs="Arial"/>
          <w:i/>
        </w:rPr>
        <w:t>χ</w:t>
      </w:r>
      <w:r w:rsidR="00781DEE" w:rsidRPr="00B82AEE">
        <w:rPr>
          <w:rFonts w:ascii="Arial" w:hAnsi="Arial" w:cs="Arial"/>
          <w:vertAlign w:val="superscript"/>
        </w:rPr>
        <w:t>2</w:t>
      </w:r>
      <w:r w:rsidR="00781DEE" w:rsidRPr="00B82AEE">
        <w:rPr>
          <w:rFonts w:ascii="Arial" w:hAnsi="Arial" w:cs="Arial"/>
        </w:rPr>
        <w:t>(1)=</w:t>
      </w:r>
      <w:r w:rsidR="00F07895" w:rsidRPr="00B82AEE">
        <w:rPr>
          <w:rFonts w:ascii="Arial" w:hAnsi="Arial" w:cs="Arial"/>
        </w:rPr>
        <w:t>27</w:t>
      </w:r>
      <w:r w:rsidR="00781DEE" w:rsidRPr="00B82AEE">
        <w:rPr>
          <w:rFonts w:ascii="Arial" w:hAnsi="Arial" w:cs="Arial"/>
        </w:rPr>
        <w:t>.</w:t>
      </w:r>
      <w:r w:rsidR="00F07895" w:rsidRPr="00B82AEE">
        <w:rPr>
          <w:rFonts w:ascii="Arial" w:hAnsi="Arial" w:cs="Arial"/>
        </w:rPr>
        <w:t>33</w:t>
      </w:r>
      <w:r w:rsidR="00781DEE" w:rsidRPr="00B82AEE">
        <w:rPr>
          <w:rFonts w:ascii="Arial" w:hAnsi="Arial" w:cs="Arial"/>
        </w:rPr>
        <w:t xml:space="preserve">, </w:t>
      </w:r>
      <w:r w:rsidR="00781DEE" w:rsidRPr="00B82AEE">
        <w:rPr>
          <w:rFonts w:ascii="Arial" w:hAnsi="Arial" w:cs="Arial"/>
          <w:i/>
        </w:rPr>
        <w:t>p</w:t>
      </w:r>
      <w:r w:rsidR="00781DEE" w:rsidRPr="00B82AEE">
        <w:rPr>
          <w:rFonts w:ascii="Arial" w:hAnsi="Arial" w:cs="Arial"/>
        </w:rPr>
        <w:t xml:space="preserve">&lt;.001). </w:t>
      </w:r>
    </w:p>
    <w:p w14:paraId="5684EB02" w14:textId="6843DA42" w:rsidR="004F023C" w:rsidRPr="00B82AEE" w:rsidRDefault="004F023C" w:rsidP="00DD777D">
      <w:pPr>
        <w:spacing w:after="0" w:line="480" w:lineRule="auto"/>
        <w:ind w:firstLine="720"/>
        <w:jc w:val="both"/>
        <w:rPr>
          <w:rFonts w:ascii="Arial" w:hAnsi="Arial" w:cs="Arial"/>
        </w:rPr>
      </w:pPr>
      <w:r w:rsidRPr="00B82AEE">
        <w:rPr>
          <w:rFonts w:ascii="Arial" w:hAnsi="Arial" w:cs="Arial"/>
        </w:rPr>
        <w:t xml:space="preserve">Similarly, </w:t>
      </w:r>
      <w:r w:rsidR="007C300A" w:rsidRPr="00B82AEE">
        <w:rPr>
          <w:rFonts w:ascii="Arial" w:hAnsi="Arial" w:cs="Arial"/>
        </w:rPr>
        <w:t xml:space="preserve">HR-ASD siblings </w:t>
      </w:r>
      <w:r w:rsidRPr="00B82AEE">
        <w:rPr>
          <w:rFonts w:ascii="Arial" w:hAnsi="Arial" w:cs="Arial"/>
        </w:rPr>
        <w:t xml:space="preserve">displayed lower </w:t>
      </w:r>
      <w:r w:rsidR="00D3754E" w:rsidRPr="00B82AEE">
        <w:rPr>
          <w:rFonts w:ascii="Arial" w:hAnsi="Arial" w:cs="Arial"/>
        </w:rPr>
        <w:t xml:space="preserve">mean </w:t>
      </w:r>
      <w:r w:rsidRPr="00B82AEE">
        <w:rPr>
          <w:rFonts w:ascii="Arial" w:hAnsi="Arial" w:cs="Arial"/>
        </w:rPr>
        <w:t>receptive and expressive language scores than the HR-</w:t>
      </w:r>
      <w:proofErr w:type="spellStart"/>
      <w:r w:rsidRPr="00B82AEE">
        <w:rPr>
          <w:rFonts w:ascii="Arial" w:hAnsi="Arial" w:cs="Arial"/>
        </w:rPr>
        <w:t>noASD</w:t>
      </w:r>
      <w:proofErr w:type="spellEnd"/>
      <w:r w:rsidRPr="00B82AEE">
        <w:rPr>
          <w:rFonts w:ascii="Arial" w:hAnsi="Arial" w:cs="Arial"/>
        </w:rPr>
        <w:t xml:space="preserve"> group (</w:t>
      </w:r>
      <w:r w:rsidR="00D3754E" w:rsidRPr="00B82AEE">
        <w:rPr>
          <w:rFonts w:ascii="Arial" w:hAnsi="Arial" w:cs="Arial"/>
        </w:rPr>
        <w:t>R</w:t>
      </w:r>
      <w:r w:rsidRPr="00B82AEE">
        <w:rPr>
          <w:rFonts w:ascii="Arial" w:hAnsi="Arial" w:cs="Arial"/>
        </w:rPr>
        <w:t>eceptive language</w:t>
      </w:r>
      <w:r w:rsidR="00D3754E" w:rsidRPr="00B82AEE">
        <w:rPr>
          <w:rFonts w:ascii="Arial" w:hAnsi="Arial" w:cs="Arial"/>
        </w:rPr>
        <w:t>: HR-ASD=</w:t>
      </w:r>
      <w:r w:rsidRPr="00B82AEE">
        <w:rPr>
          <w:rFonts w:ascii="Arial" w:hAnsi="Arial" w:cs="Arial"/>
        </w:rPr>
        <w:t>35.87(14.89)</w:t>
      </w:r>
      <w:r w:rsidR="00D3754E" w:rsidRPr="00B82AEE">
        <w:rPr>
          <w:rFonts w:ascii="Arial" w:hAnsi="Arial" w:cs="Arial"/>
        </w:rPr>
        <w:t xml:space="preserve"> versus HR-</w:t>
      </w:r>
      <w:proofErr w:type="spellStart"/>
      <w:r w:rsidR="00D3754E" w:rsidRPr="00B82AEE">
        <w:rPr>
          <w:rFonts w:ascii="Arial" w:hAnsi="Arial" w:cs="Arial"/>
        </w:rPr>
        <w:t>noASD</w:t>
      </w:r>
      <w:proofErr w:type="spellEnd"/>
      <w:r w:rsidR="00D3754E" w:rsidRPr="00B82AEE">
        <w:rPr>
          <w:rFonts w:ascii="Arial" w:hAnsi="Arial" w:cs="Arial"/>
        </w:rPr>
        <w:t xml:space="preserve">=51.79(10.43), </w:t>
      </w:r>
      <w:proofErr w:type="gramStart"/>
      <w:r w:rsidR="00D3754E" w:rsidRPr="00B82AEE">
        <w:rPr>
          <w:rFonts w:ascii="Arial" w:hAnsi="Arial" w:cs="Arial"/>
          <w:i/>
        </w:rPr>
        <w:t>t</w:t>
      </w:r>
      <w:r w:rsidR="00D3754E" w:rsidRPr="00B82AEE">
        <w:rPr>
          <w:rFonts w:ascii="Arial" w:hAnsi="Arial" w:cs="Arial"/>
        </w:rPr>
        <w:t>(</w:t>
      </w:r>
      <w:proofErr w:type="gramEnd"/>
      <w:r w:rsidR="00D3754E" w:rsidRPr="00B82AEE">
        <w:rPr>
          <w:rFonts w:ascii="Arial" w:hAnsi="Arial" w:cs="Arial"/>
        </w:rPr>
        <w:t>76)=</w:t>
      </w:r>
      <w:r w:rsidR="00BF1770" w:rsidRPr="00B82AEE">
        <w:rPr>
          <w:rFonts w:ascii="Arial" w:hAnsi="Arial" w:cs="Arial"/>
        </w:rPr>
        <w:t>-</w:t>
      </w:r>
      <w:r w:rsidR="00D3754E" w:rsidRPr="00B82AEE">
        <w:rPr>
          <w:rFonts w:ascii="Arial" w:hAnsi="Arial" w:cs="Arial"/>
        </w:rPr>
        <w:t xml:space="preserve">7.87, </w:t>
      </w:r>
      <w:r w:rsidR="00D3754E" w:rsidRPr="00B82AEE">
        <w:rPr>
          <w:rFonts w:ascii="Arial" w:hAnsi="Arial" w:cs="Arial"/>
          <w:i/>
        </w:rPr>
        <w:t>p</w:t>
      </w:r>
      <w:r w:rsidR="00D3754E" w:rsidRPr="00B82AEE">
        <w:rPr>
          <w:rFonts w:ascii="Arial" w:hAnsi="Arial" w:cs="Arial"/>
        </w:rPr>
        <w:t xml:space="preserve">&lt;.001, Cohen’s </w:t>
      </w:r>
      <w:r w:rsidR="00D3754E" w:rsidRPr="00B82AEE">
        <w:rPr>
          <w:rFonts w:ascii="Arial" w:hAnsi="Arial" w:cs="Arial"/>
          <w:i/>
        </w:rPr>
        <w:t>d</w:t>
      </w:r>
      <w:r w:rsidR="00D3754E" w:rsidRPr="00B82AEE">
        <w:rPr>
          <w:rFonts w:ascii="Arial" w:hAnsi="Arial" w:cs="Arial"/>
        </w:rPr>
        <w:t>=</w:t>
      </w:r>
      <w:r w:rsidR="00BF1770" w:rsidRPr="00B82AEE">
        <w:rPr>
          <w:rFonts w:ascii="Arial" w:hAnsi="Arial" w:cs="Arial"/>
        </w:rPr>
        <w:t>1</w:t>
      </w:r>
      <w:r w:rsidR="00D3754E" w:rsidRPr="00B82AEE">
        <w:rPr>
          <w:rFonts w:ascii="Arial" w:hAnsi="Arial" w:cs="Arial"/>
        </w:rPr>
        <w:t>.</w:t>
      </w:r>
      <w:r w:rsidR="00BF1770" w:rsidRPr="00B82AEE">
        <w:rPr>
          <w:rFonts w:ascii="Arial" w:hAnsi="Arial" w:cs="Arial"/>
        </w:rPr>
        <w:t>24</w:t>
      </w:r>
      <w:r w:rsidR="00D3754E" w:rsidRPr="00B82AEE">
        <w:rPr>
          <w:rFonts w:ascii="Arial" w:hAnsi="Arial" w:cs="Arial"/>
        </w:rPr>
        <w:t>; E</w:t>
      </w:r>
      <w:r w:rsidRPr="00B82AEE">
        <w:rPr>
          <w:rFonts w:ascii="Arial" w:hAnsi="Arial" w:cs="Arial"/>
        </w:rPr>
        <w:t>xpressive</w:t>
      </w:r>
      <w:r w:rsidR="00D3754E" w:rsidRPr="00B82AEE">
        <w:rPr>
          <w:rFonts w:ascii="Arial" w:hAnsi="Arial" w:cs="Arial"/>
        </w:rPr>
        <w:t xml:space="preserve"> </w:t>
      </w:r>
      <w:r w:rsidRPr="00B82AEE">
        <w:rPr>
          <w:rFonts w:ascii="Arial" w:hAnsi="Arial" w:cs="Arial"/>
        </w:rPr>
        <w:t>language</w:t>
      </w:r>
      <w:r w:rsidR="00D3754E" w:rsidRPr="00B82AEE">
        <w:rPr>
          <w:rFonts w:ascii="Arial" w:hAnsi="Arial" w:cs="Arial"/>
        </w:rPr>
        <w:t>: HR-ASD=</w:t>
      </w:r>
      <w:r w:rsidRPr="00B82AEE">
        <w:rPr>
          <w:rFonts w:ascii="Arial" w:hAnsi="Arial" w:cs="Arial"/>
        </w:rPr>
        <w:t>38.21(11.50)</w:t>
      </w:r>
      <w:r w:rsidR="00D3754E" w:rsidRPr="00B82AEE">
        <w:rPr>
          <w:rFonts w:ascii="Arial" w:hAnsi="Arial" w:cs="Arial"/>
        </w:rPr>
        <w:t>,</w:t>
      </w:r>
      <w:r w:rsidRPr="00B82AEE">
        <w:rPr>
          <w:rFonts w:ascii="Arial" w:hAnsi="Arial" w:cs="Arial"/>
        </w:rPr>
        <w:t xml:space="preserve"> </w:t>
      </w:r>
      <w:r w:rsidR="007C300A" w:rsidRPr="00B82AEE">
        <w:rPr>
          <w:rFonts w:ascii="Arial" w:hAnsi="Arial" w:cs="Arial"/>
        </w:rPr>
        <w:t>HR-</w:t>
      </w:r>
      <w:proofErr w:type="spellStart"/>
      <w:r w:rsidR="007C300A" w:rsidRPr="00B82AEE">
        <w:rPr>
          <w:rFonts w:ascii="Arial" w:hAnsi="Arial" w:cs="Arial"/>
        </w:rPr>
        <w:t>noASD</w:t>
      </w:r>
      <w:proofErr w:type="spellEnd"/>
      <w:r w:rsidR="007C300A" w:rsidRPr="00B82AEE">
        <w:rPr>
          <w:rFonts w:ascii="Arial" w:hAnsi="Arial" w:cs="Arial"/>
        </w:rPr>
        <w:t>=</w:t>
      </w:r>
      <w:r w:rsidR="00DD777D" w:rsidRPr="00B82AEE">
        <w:rPr>
          <w:rFonts w:ascii="Arial" w:hAnsi="Arial" w:cs="Arial"/>
        </w:rPr>
        <w:t>49.13(11.29)</w:t>
      </w:r>
      <w:r w:rsidR="00D3754E" w:rsidRPr="00B82AEE">
        <w:rPr>
          <w:rFonts w:ascii="Arial" w:hAnsi="Arial" w:cs="Arial"/>
        </w:rPr>
        <w:t>,</w:t>
      </w:r>
      <w:r w:rsidR="007C300A" w:rsidRPr="00B82AEE">
        <w:rPr>
          <w:rFonts w:ascii="Arial" w:hAnsi="Arial" w:cs="Arial"/>
        </w:rPr>
        <w:t xml:space="preserve"> expressive: </w:t>
      </w:r>
      <w:r w:rsidR="00DD777D" w:rsidRPr="00B82AEE">
        <w:rPr>
          <w:rFonts w:ascii="Arial" w:hAnsi="Arial" w:cs="Arial"/>
          <w:i/>
        </w:rPr>
        <w:t>t</w:t>
      </w:r>
      <w:r w:rsidR="00DD777D" w:rsidRPr="00B82AEE">
        <w:rPr>
          <w:rFonts w:ascii="Arial" w:hAnsi="Arial" w:cs="Arial"/>
        </w:rPr>
        <w:t>(294)=</w:t>
      </w:r>
      <w:r w:rsidR="00BF1770" w:rsidRPr="00B82AEE">
        <w:rPr>
          <w:rFonts w:ascii="Arial" w:hAnsi="Arial" w:cs="Arial"/>
        </w:rPr>
        <w:t>-</w:t>
      </w:r>
      <w:r w:rsidR="00DD777D" w:rsidRPr="00B82AEE">
        <w:rPr>
          <w:rFonts w:ascii="Arial" w:hAnsi="Arial" w:cs="Arial"/>
        </w:rPr>
        <w:t xml:space="preserve">6.70, </w:t>
      </w:r>
      <w:r w:rsidR="00DD777D" w:rsidRPr="00B82AEE">
        <w:rPr>
          <w:rFonts w:ascii="Arial" w:hAnsi="Arial" w:cs="Arial"/>
          <w:i/>
        </w:rPr>
        <w:t>p</w:t>
      </w:r>
      <w:r w:rsidR="00DD777D" w:rsidRPr="00B82AEE">
        <w:rPr>
          <w:rFonts w:ascii="Arial" w:hAnsi="Arial" w:cs="Arial"/>
        </w:rPr>
        <w:t xml:space="preserve">&lt;.001, </w:t>
      </w:r>
      <w:r w:rsidRPr="00B82AEE">
        <w:rPr>
          <w:rFonts w:ascii="Arial" w:hAnsi="Arial" w:cs="Arial"/>
        </w:rPr>
        <w:t xml:space="preserve">Cohen’s </w:t>
      </w:r>
      <w:r w:rsidRPr="00B82AEE">
        <w:rPr>
          <w:rFonts w:ascii="Arial" w:hAnsi="Arial" w:cs="Arial"/>
          <w:i/>
        </w:rPr>
        <w:t>d</w:t>
      </w:r>
      <w:r w:rsidRPr="00B82AEE">
        <w:rPr>
          <w:rFonts w:ascii="Arial" w:hAnsi="Arial" w:cs="Arial"/>
        </w:rPr>
        <w:t>=</w:t>
      </w:r>
      <w:r w:rsidR="00BF1770" w:rsidRPr="00B82AEE">
        <w:rPr>
          <w:rFonts w:ascii="Arial" w:hAnsi="Arial" w:cs="Arial"/>
        </w:rPr>
        <w:t>0</w:t>
      </w:r>
      <w:r w:rsidRPr="00B82AEE">
        <w:rPr>
          <w:rFonts w:ascii="Arial" w:hAnsi="Arial" w:cs="Arial"/>
        </w:rPr>
        <w:t>.</w:t>
      </w:r>
      <w:r w:rsidR="00BF1770" w:rsidRPr="00B82AEE">
        <w:rPr>
          <w:rFonts w:ascii="Arial" w:hAnsi="Arial" w:cs="Arial"/>
        </w:rPr>
        <w:t>96</w:t>
      </w:r>
      <w:r w:rsidRPr="00B82AEE">
        <w:rPr>
          <w:rFonts w:ascii="Arial" w:hAnsi="Arial" w:cs="Arial"/>
        </w:rPr>
        <w:t>).</w:t>
      </w:r>
      <w:r w:rsidR="00781DEE" w:rsidRPr="00B82AEE">
        <w:rPr>
          <w:rFonts w:ascii="Arial" w:hAnsi="Arial" w:cs="Arial"/>
        </w:rPr>
        <w:t xml:space="preserve"> By both categorical and continuous language measures, </w:t>
      </w:r>
      <w:r w:rsidR="005A7CB5" w:rsidRPr="00B82AEE">
        <w:rPr>
          <w:rFonts w:ascii="Arial" w:hAnsi="Arial" w:cs="Arial"/>
        </w:rPr>
        <w:t>a g</w:t>
      </w:r>
      <w:r w:rsidR="00781DEE" w:rsidRPr="00B82AEE">
        <w:rPr>
          <w:rFonts w:ascii="Arial" w:hAnsi="Arial" w:cs="Arial"/>
        </w:rPr>
        <w:t xml:space="preserve">reater prevalence of decreased language function </w:t>
      </w:r>
      <w:r w:rsidR="005A7CB5" w:rsidRPr="00B82AEE">
        <w:rPr>
          <w:rFonts w:ascii="Arial" w:hAnsi="Arial" w:cs="Arial"/>
        </w:rPr>
        <w:t>was observe</w:t>
      </w:r>
      <w:r w:rsidR="00C71F9A" w:rsidRPr="00B82AEE">
        <w:rPr>
          <w:rFonts w:ascii="Arial" w:hAnsi="Arial" w:cs="Arial"/>
        </w:rPr>
        <w:t>d</w:t>
      </w:r>
      <w:r w:rsidR="005A7CB5" w:rsidRPr="00B82AEE">
        <w:rPr>
          <w:rFonts w:ascii="Arial" w:hAnsi="Arial" w:cs="Arial"/>
        </w:rPr>
        <w:t xml:space="preserve"> </w:t>
      </w:r>
      <w:r w:rsidR="00781DEE" w:rsidRPr="00B82AEE">
        <w:rPr>
          <w:rFonts w:ascii="Arial" w:hAnsi="Arial" w:cs="Arial"/>
        </w:rPr>
        <w:t xml:space="preserve">in </w:t>
      </w:r>
      <w:r w:rsidR="002F70AE" w:rsidRPr="00B82AEE">
        <w:rPr>
          <w:rFonts w:ascii="Arial" w:hAnsi="Arial" w:cs="Arial"/>
        </w:rPr>
        <w:t>HR-</w:t>
      </w:r>
      <w:r w:rsidR="00781DEE" w:rsidRPr="00B82AEE">
        <w:rPr>
          <w:rFonts w:ascii="Arial" w:hAnsi="Arial" w:cs="Arial"/>
        </w:rPr>
        <w:t xml:space="preserve">ASD siblings </w:t>
      </w:r>
      <w:r w:rsidR="00CB6D3C" w:rsidRPr="00B82AEE">
        <w:rPr>
          <w:rFonts w:ascii="Arial" w:hAnsi="Arial" w:cs="Arial"/>
        </w:rPr>
        <w:t>in comparison to</w:t>
      </w:r>
      <w:r w:rsidR="00781DEE" w:rsidRPr="00B82AEE">
        <w:rPr>
          <w:rFonts w:ascii="Arial" w:hAnsi="Arial" w:cs="Arial"/>
        </w:rPr>
        <w:t xml:space="preserve"> HR-</w:t>
      </w:r>
      <w:proofErr w:type="spellStart"/>
      <w:r w:rsidR="00781DEE" w:rsidRPr="00B82AEE">
        <w:rPr>
          <w:rFonts w:ascii="Arial" w:hAnsi="Arial" w:cs="Arial"/>
        </w:rPr>
        <w:t>noASD</w:t>
      </w:r>
      <w:proofErr w:type="spellEnd"/>
      <w:r w:rsidR="00781DEE" w:rsidRPr="00B82AEE">
        <w:rPr>
          <w:rFonts w:ascii="Arial" w:hAnsi="Arial" w:cs="Arial"/>
        </w:rPr>
        <w:t xml:space="preserve"> siblings</w:t>
      </w:r>
      <w:r w:rsidR="00C51AAA" w:rsidRPr="00B82AEE">
        <w:rPr>
          <w:rFonts w:ascii="Arial" w:hAnsi="Arial" w:cs="Arial"/>
        </w:rPr>
        <w:t xml:space="preserve"> in IBIS</w:t>
      </w:r>
      <w:r w:rsidR="00CB6D3C" w:rsidRPr="00B82AEE">
        <w:rPr>
          <w:rFonts w:ascii="Arial" w:hAnsi="Arial" w:cs="Arial"/>
        </w:rPr>
        <w:t xml:space="preserve">, consistent with the co-segregation </w:t>
      </w:r>
      <w:r w:rsidR="00D76AE6" w:rsidRPr="00B82AEE">
        <w:rPr>
          <w:rFonts w:ascii="Arial" w:hAnsi="Arial" w:cs="Arial"/>
        </w:rPr>
        <w:t xml:space="preserve">criterion </w:t>
      </w:r>
      <w:r w:rsidR="00CB6D3C" w:rsidRPr="00B82AEE">
        <w:rPr>
          <w:rFonts w:ascii="Arial" w:hAnsi="Arial" w:cs="Arial"/>
        </w:rPr>
        <w:t>of an endophenotype</w:t>
      </w:r>
      <w:r w:rsidR="002F70AE" w:rsidRPr="00B82AEE">
        <w:rPr>
          <w:rFonts w:ascii="Arial" w:hAnsi="Arial" w:cs="Arial"/>
        </w:rPr>
        <w:t xml:space="preserve"> </w:t>
      </w:r>
      <w:r w:rsidR="00CB6D3C" w:rsidRPr="00B82AEE">
        <w:rPr>
          <w:rFonts w:ascii="Arial" w:hAnsi="Arial" w:cs="Arial"/>
        </w:rPr>
        <w:t>in affected versus unaffected family members</w:t>
      </w:r>
      <w:r w:rsidR="00781DEE" w:rsidRPr="00B82AEE">
        <w:rPr>
          <w:rFonts w:ascii="Arial" w:hAnsi="Arial" w:cs="Arial"/>
        </w:rPr>
        <w:t>.</w:t>
      </w:r>
      <w:r w:rsidR="001027B0" w:rsidRPr="00B82AEE">
        <w:rPr>
          <w:rFonts w:ascii="Arial" w:hAnsi="Arial" w:cs="Arial"/>
        </w:rPr>
        <w:t xml:space="preserve"> </w:t>
      </w:r>
      <w:r w:rsidR="00C2763F" w:rsidRPr="00B82AEE">
        <w:rPr>
          <w:rFonts w:ascii="Arial" w:hAnsi="Arial" w:cs="Arial"/>
        </w:rPr>
        <w:t>Additionally, the qualitative profile of these language differences, whereby receptive language appears more strongly affected in HR-ASD siblings than expressive language, corresponds both to the p</w:t>
      </w:r>
      <w:r w:rsidR="00D76FEF" w:rsidRPr="00B82AEE">
        <w:rPr>
          <w:rFonts w:ascii="Arial" w:hAnsi="Arial" w:cs="Arial"/>
        </w:rPr>
        <w:t>ublish</w:t>
      </w:r>
      <w:r w:rsidR="00C2763F" w:rsidRPr="00B82AEE">
        <w:rPr>
          <w:rFonts w:ascii="Arial" w:hAnsi="Arial" w:cs="Arial"/>
        </w:rPr>
        <w:t>ed observations for toddlers with ASD [4,5], as well as finding</w:t>
      </w:r>
      <w:r w:rsidR="00D76FEF" w:rsidRPr="00B82AEE">
        <w:rPr>
          <w:rFonts w:ascii="Arial" w:hAnsi="Arial" w:cs="Arial"/>
        </w:rPr>
        <w:t xml:space="preserve">s </w:t>
      </w:r>
      <w:r w:rsidR="001E5B73" w:rsidRPr="00B82AEE">
        <w:rPr>
          <w:rFonts w:ascii="Arial" w:hAnsi="Arial" w:cs="Arial"/>
        </w:rPr>
        <w:t>in the main text</w:t>
      </w:r>
      <w:r w:rsidR="00C2763F" w:rsidRPr="00B82AEE">
        <w:rPr>
          <w:rFonts w:ascii="Arial" w:hAnsi="Arial" w:cs="Arial"/>
        </w:rPr>
        <w:t xml:space="preserve"> that receptive language appears more affected than expressive language in HR-</w:t>
      </w:r>
      <w:proofErr w:type="spellStart"/>
      <w:r w:rsidR="00C2763F" w:rsidRPr="00B82AEE">
        <w:rPr>
          <w:rFonts w:ascii="Arial" w:hAnsi="Arial" w:cs="Arial"/>
        </w:rPr>
        <w:t>noASD</w:t>
      </w:r>
      <w:proofErr w:type="spellEnd"/>
      <w:r w:rsidR="00C2763F" w:rsidRPr="00B82AEE">
        <w:rPr>
          <w:rFonts w:ascii="Arial" w:hAnsi="Arial" w:cs="Arial"/>
        </w:rPr>
        <w:t xml:space="preserve"> siblings (Figure 1). The </w:t>
      </w:r>
      <w:r w:rsidR="00F91D00" w:rsidRPr="00B82AEE">
        <w:rPr>
          <w:rFonts w:ascii="Arial" w:hAnsi="Arial" w:cs="Arial"/>
        </w:rPr>
        <w:t>consistenc</w:t>
      </w:r>
      <w:r w:rsidR="00C2763F" w:rsidRPr="00B82AEE">
        <w:rPr>
          <w:rFonts w:ascii="Arial" w:hAnsi="Arial" w:cs="Arial"/>
        </w:rPr>
        <w:t xml:space="preserve">y of this profile at differing levels of </w:t>
      </w:r>
      <w:r w:rsidR="00C2763F" w:rsidRPr="00B82AEE">
        <w:rPr>
          <w:rFonts w:ascii="Arial" w:hAnsi="Arial" w:cs="Arial"/>
        </w:rPr>
        <w:lastRenderedPageBreak/>
        <w:t>ASD risk further supports an association between familial risk factors for ASD and language function in early development.</w:t>
      </w:r>
    </w:p>
    <w:p w14:paraId="488287A0" w14:textId="79B1E610" w:rsidR="001225EE" w:rsidRPr="00B82AEE" w:rsidRDefault="001225EE" w:rsidP="00B960BD">
      <w:pPr>
        <w:spacing w:after="0" w:line="480" w:lineRule="auto"/>
        <w:jc w:val="both"/>
        <w:rPr>
          <w:rFonts w:ascii="Arial" w:hAnsi="Arial" w:cs="Arial"/>
        </w:rPr>
      </w:pPr>
    </w:p>
    <w:p w14:paraId="74184220" w14:textId="4A9321DD" w:rsidR="004F023C" w:rsidRPr="00B82AEE" w:rsidRDefault="001225EE" w:rsidP="00B960BD">
      <w:pPr>
        <w:spacing w:after="0" w:line="480" w:lineRule="auto"/>
        <w:jc w:val="both"/>
        <w:rPr>
          <w:rFonts w:ascii="Arial" w:hAnsi="Arial" w:cs="Arial"/>
          <w:u w:val="single"/>
        </w:rPr>
      </w:pPr>
      <w:r w:rsidRPr="00B82AEE">
        <w:rPr>
          <w:rFonts w:ascii="Arial" w:hAnsi="Arial" w:cs="Arial"/>
          <w:u w:val="single"/>
        </w:rPr>
        <w:t xml:space="preserve">Correlations of </w:t>
      </w:r>
      <w:r w:rsidR="00E106A1" w:rsidRPr="00B82AEE">
        <w:rPr>
          <w:rFonts w:ascii="Arial" w:hAnsi="Arial" w:cs="Arial"/>
          <w:u w:val="single"/>
        </w:rPr>
        <w:t xml:space="preserve">ADOS Raw </w:t>
      </w:r>
      <w:r w:rsidRPr="00B82AEE">
        <w:rPr>
          <w:rFonts w:ascii="Arial" w:hAnsi="Arial" w:cs="Arial"/>
          <w:u w:val="single"/>
        </w:rPr>
        <w:t>Social Affect Scores and Risk Group by Sex</w:t>
      </w:r>
    </w:p>
    <w:p w14:paraId="39905860" w14:textId="0030BD59" w:rsidR="00B960BD" w:rsidRPr="00B82AEE" w:rsidRDefault="0043295A" w:rsidP="00042FF0">
      <w:pPr>
        <w:spacing w:after="0" w:line="480" w:lineRule="auto"/>
        <w:jc w:val="both"/>
        <w:rPr>
          <w:rFonts w:ascii="Arial" w:hAnsi="Arial" w:cs="Arial"/>
        </w:rPr>
      </w:pPr>
      <w:r w:rsidRPr="00B82AEE">
        <w:rPr>
          <w:rFonts w:ascii="Arial" w:hAnsi="Arial" w:cs="Arial"/>
        </w:rPr>
        <w:t xml:space="preserve">We explored </w:t>
      </w:r>
      <w:r w:rsidR="00375302" w:rsidRPr="00B82AEE">
        <w:rPr>
          <w:rFonts w:ascii="Arial" w:hAnsi="Arial" w:cs="Arial"/>
        </w:rPr>
        <w:t>possible</w:t>
      </w:r>
      <w:r w:rsidRPr="00B82AEE">
        <w:rPr>
          <w:rFonts w:ascii="Arial" w:hAnsi="Arial" w:cs="Arial"/>
        </w:rPr>
        <w:t xml:space="preserve"> sex-specific differences in the relationship between language and </w:t>
      </w:r>
      <w:r w:rsidR="005A7CB5" w:rsidRPr="00B82AEE">
        <w:rPr>
          <w:rFonts w:ascii="Arial" w:hAnsi="Arial" w:cs="Arial"/>
        </w:rPr>
        <w:t xml:space="preserve">raw ADOS </w:t>
      </w:r>
      <w:r w:rsidRPr="00B82AEE">
        <w:rPr>
          <w:rFonts w:ascii="Arial" w:hAnsi="Arial" w:cs="Arial"/>
        </w:rPr>
        <w:t>social affect score, given known sex differences in language development</w:t>
      </w:r>
      <w:r w:rsidR="00375302" w:rsidRPr="00B82AEE">
        <w:rPr>
          <w:rFonts w:ascii="Arial" w:hAnsi="Arial" w:cs="Arial"/>
        </w:rPr>
        <w:t xml:space="preserve"> </w:t>
      </w:r>
      <w:r w:rsidR="00137600" w:rsidRPr="00B82AEE">
        <w:rPr>
          <w:rFonts w:ascii="Arial" w:hAnsi="Arial" w:cs="Arial"/>
        </w:rPr>
        <w:t>[</w:t>
      </w:r>
      <w:r w:rsidR="00C2763F" w:rsidRPr="00B82AEE">
        <w:rPr>
          <w:rFonts w:ascii="Arial" w:hAnsi="Arial" w:cs="Arial"/>
        </w:rPr>
        <w:t>6</w:t>
      </w:r>
      <w:r w:rsidR="00137600" w:rsidRPr="00B82AEE">
        <w:rPr>
          <w:rFonts w:ascii="Arial" w:hAnsi="Arial" w:cs="Arial"/>
        </w:rPr>
        <w:t>,</w:t>
      </w:r>
      <w:r w:rsidR="00C2763F" w:rsidRPr="00B82AEE">
        <w:rPr>
          <w:rFonts w:ascii="Arial" w:hAnsi="Arial" w:cs="Arial"/>
        </w:rPr>
        <w:t>7</w:t>
      </w:r>
      <w:r w:rsidR="00137600" w:rsidRPr="00B82AEE">
        <w:rPr>
          <w:rFonts w:ascii="Arial" w:hAnsi="Arial" w:cs="Arial"/>
        </w:rPr>
        <w:t xml:space="preserve">] </w:t>
      </w:r>
      <w:r w:rsidR="00375302" w:rsidRPr="00B82AEE">
        <w:rPr>
          <w:rFonts w:ascii="Arial" w:hAnsi="Arial" w:cs="Arial"/>
        </w:rPr>
        <w:t>and prevalence of ASD</w:t>
      </w:r>
      <w:r w:rsidRPr="00B82AEE">
        <w:rPr>
          <w:rFonts w:ascii="Arial" w:hAnsi="Arial" w:cs="Arial"/>
        </w:rPr>
        <w:t xml:space="preserve">. </w:t>
      </w:r>
      <w:r w:rsidR="00B960BD" w:rsidRPr="00B82AEE">
        <w:rPr>
          <w:rFonts w:ascii="Arial" w:hAnsi="Arial" w:cs="Arial"/>
        </w:rPr>
        <w:t>The lack of a correlation for HR-</w:t>
      </w:r>
      <w:proofErr w:type="spellStart"/>
      <w:r w:rsidR="00B960BD" w:rsidRPr="00B82AEE">
        <w:rPr>
          <w:rFonts w:ascii="Arial" w:hAnsi="Arial" w:cs="Arial"/>
        </w:rPr>
        <w:t>noASD</w:t>
      </w:r>
      <w:proofErr w:type="spellEnd"/>
      <w:r w:rsidR="00B960BD" w:rsidRPr="00B82AEE">
        <w:rPr>
          <w:rFonts w:ascii="Arial" w:hAnsi="Arial" w:cs="Arial"/>
        </w:rPr>
        <w:t xml:space="preserve"> siblings was </w:t>
      </w:r>
      <w:r w:rsidR="00375302" w:rsidRPr="00B82AEE">
        <w:rPr>
          <w:rFonts w:ascii="Arial" w:hAnsi="Arial" w:cs="Arial"/>
        </w:rPr>
        <w:t>maintained</w:t>
      </w:r>
      <w:r w:rsidR="00B960BD" w:rsidRPr="00B82AEE">
        <w:rPr>
          <w:rFonts w:ascii="Arial" w:hAnsi="Arial" w:cs="Arial"/>
        </w:rPr>
        <w:t xml:space="preserve"> when analyzing HR-</w:t>
      </w:r>
      <w:proofErr w:type="spellStart"/>
      <w:r w:rsidR="00B960BD" w:rsidRPr="00B82AEE">
        <w:rPr>
          <w:rFonts w:ascii="Arial" w:hAnsi="Arial" w:cs="Arial"/>
        </w:rPr>
        <w:t>noASD</w:t>
      </w:r>
      <w:proofErr w:type="spellEnd"/>
      <w:r w:rsidR="00B960BD" w:rsidRPr="00B82AEE">
        <w:rPr>
          <w:rFonts w:ascii="Arial" w:hAnsi="Arial" w:cs="Arial"/>
        </w:rPr>
        <w:t xml:space="preserve"> males and females separately (females: n=100; receptive language: r=-.035, </w:t>
      </w:r>
      <w:r w:rsidR="00B960BD" w:rsidRPr="00B82AEE">
        <w:rPr>
          <w:rFonts w:ascii="Arial" w:hAnsi="Arial" w:cs="Arial"/>
          <w:i/>
        </w:rPr>
        <w:t>p</w:t>
      </w:r>
      <w:r w:rsidR="00B960BD" w:rsidRPr="00B82AEE">
        <w:rPr>
          <w:rFonts w:ascii="Arial" w:hAnsi="Arial" w:cs="Arial"/>
        </w:rPr>
        <w:t xml:space="preserve">=.71; expressive language: r=.095, </w:t>
      </w:r>
      <w:r w:rsidR="00B960BD" w:rsidRPr="00B82AEE">
        <w:rPr>
          <w:rFonts w:ascii="Arial" w:hAnsi="Arial" w:cs="Arial"/>
          <w:i/>
        </w:rPr>
        <w:t>p</w:t>
      </w:r>
      <w:r w:rsidR="00B960BD" w:rsidRPr="00B82AEE">
        <w:rPr>
          <w:rFonts w:ascii="Arial" w:hAnsi="Arial" w:cs="Arial"/>
        </w:rPr>
        <w:t xml:space="preserve">=.35; males: n=132; receptive language: r=-.15, </w:t>
      </w:r>
      <w:r w:rsidR="00B960BD" w:rsidRPr="00B82AEE">
        <w:rPr>
          <w:rFonts w:ascii="Arial" w:hAnsi="Arial" w:cs="Arial"/>
          <w:i/>
        </w:rPr>
        <w:t>p</w:t>
      </w:r>
      <w:r w:rsidR="00B960BD" w:rsidRPr="00B82AEE">
        <w:rPr>
          <w:rFonts w:ascii="Arial" w:hAnsi="Arial" w:cs="Arial"/>
        </w:rPr>
        <w:t xml:space="preserve">=.089; expressive language: r=-.11, </w:t>
      </w:r>
      <w:r w:rsidR="00B960BD" w:rsidRPr="00B82AEE">
        <w:rPr>
          <w:rFonts w:ascii="Arial" w:hAnsi="Arial" w:cs="Arial"/>
          <w:i/>
        </w:rPr>
        <w:t>p</w:t>
      </w:r>
      <w:r w:rsidR="00B960BD" w:rsidRPr="00B82AEE">
        <w:rPr>
          <w:rFonts w:ascii="Arial" w:hAnsi="Arial" w:cs="Arial"/>
        </w:rPr>
        <w:t>=.21).</w:t>
      </w:r>
    </w:p>
    <w:p w14:paraId="7AE17E54" w14:textId="77777777" w:rsidR="00B960BD" w:rsidRPr="00B82AEE" w:rsidRDefault="00B960BD" w:rsidP="00042FF0">
      <w:pPr>
        <w:spacing w:after="0" w:line="480" w:lineRule="auto"/>
        <w:rPr>
          <w:rFonts w:ascii="Arial" w:hAnsi="Arial" w:cs="Arial"/>
          <w:b/>
        </w:rPr>
      </w:pPr>
      <w:r w:rsidRPr="00B82AEE">
        <w:rPr>
          <w:rFonts w:ascii="Arial" w:hAnsi="Arial" w:cs="Arial"/>
          <w:b/>
        </w:rPr>
        <w:br w:type="page"/>
      </w:r>
    </w:p>
    <w:p w14:paraId="78B69578" w14:textId="439F0DB5" w:rsidR="00490C40" w:rsidRPr="00B82AEE" w:rsidRDefault="004B7B29" w:rsidP="00B960BD">
      <w:pPr>
        <w:spacing w:after="160" w:line="259" w:lineRule="auto"/>
        <w:rPr>
          <w:rFonts w:ascii="Arial" w:hAnsi="Arial" w:cs="Arial"/>
          <w:b/>
        </w:rPr>
      </w:pPr>
      <w:r w:rsidRPr="00B82AEE">
        <w:rPr>
          <w:rFonts w:ascii="Arial" w:hAnsi="Arial" w:cs="Arial"/>
          <w:b/>
        </w:rPr>
        <w:lastRenderedPageBreak/>
        <w:t xml:space="preserve">Table </w:t>
      </w:r>
      <w:r w:rsidR="00CD2F56" w:rsidRPr="00B82AEE">
        <w:rPr>
          <w:rFonts w:ascii="Arial" w:hAnsi="Arial" w:cs="Arial"/>
          <w:b/>
        </w:rPr>
        <w:t>S</w:t>
      </w:r>
      <w:r w:rsidRPr="00B82AEE">
        <w:rPr>
          <w:rFonts w:ascii="Arial" w:hAnsi="Arial" w:cs="Arial"/>
          <w:b/>
        </w:rPr>
        <w:t>1.</w:t>
      </w:r>
      <w:r w:rsidRPr="00B82AEE">
        <w:rPr>
          <w:rFonts w:ascii="Arial" w:hAnsi="Arial" w:cs="Arial"/>
        </w:rPr>
        <w:t xml:space="preserve"> Study Characteristics </w:t>
      </w:r>
      <w:r w:rsidR="0042214A" w:rsidRPr="00B82AEE">
        <w:rPr>
          <w:rFonts w:ascii="Arial" w:hAnsi="Arial" w:cs="Arial"/>
        </w:rPr>
        <w:t>of Publications in</w:t>
      </w:r>
      <w:r w:rsidRPr="00B82AEE">
        <w:rPr>
          <w:rFonts w:ascii="Arial" w:hAnsi="Arial" w:cs="Arial"/>
        </w:rPr>
        <w:t xml:space="preserve"> Secondary Meta-analysis</w:t>
      </w:r>
    </w:p>
    <w:tbl>
      <w:tblPr>
        <w:tblStyle w:val="PlainTable21"/>
        <w:tblpPr w:leftFromText="180" w:rightFromText="180" w:vertAnchor="page" w:horzAnchor="margin" w:tblpY="1987"/>
        <w:tblW w:w="10073" w:type="dxa"/>
        <w:tblLayout w:type="fixed"/>
        <w:tblLook w:val="04A0" w:firstRow="1" w:lastRow="0" w:firstColumn="1" w:lastColumn="0" w:noHBand="0" w:noVBand="1"/>
      </w:tblPr>
      <w:tblGrid>
        <w:gridCol w:w="1397"/>
        <w:gridCol w:w="900"/>
        <w:gridCol w:w="720"/>
        <w:gridCol w:w="1440"/>
        <w:gridCol w:w="1350"/>
        <w:gridCol w:w="1530"/>
        <w:gridCol w:w="1368"/>
        <w:gridCol w:w="1361"/>
        <w:gridCol w:w="7"/>
      </w:tblGrid>
      <w:tr w:rsidR="00A63E31" w:rsidRPr="00B82AEE" w14:paraId="059A9DB4" w14:textId="77777777" w:rsidTr="00042FF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7" w:type="dxa"/>
            <w:hideMark/>
          </w:tcPr>
          <w:p w14:paraId="2048BEB5" w14:textId="77777777" w:rsidR="00B960BD" w:rsidRPr="00B82AEE" w:rsidRDefault="00B960BD" w:rsidP="00B960BD">
            <w:pPr>
              <w:spacing w:after="0" w:line="240" w:lineRule="auto"/>
              <w:jc w:val="center"/>
              <w:rPr>
                <w:rFonts w:ascii="Arial Narrow" w:hAnsi="Arial Narrow" w:cs="Arial"/>
                <w:sz w:val="22"/>
                <w:szCs w:val="22"/>
              </w:rPr>
            </w:pPr>
            <w:r w:rsidRPr="00B82AEE">
              <w:rPr>
                <w:rFonts w:ascii="Arial Narrow" w:hAnsi="Arial Narrow" w:cs="Arial"/>
                <w:sz w:val="22"/>
                <w:szCs w:val="22"/>
              </w:rPr>
              <w:t>Publication</w:t>
            </w:r>
          </w:p>
        </w:tc>
        <w:tc>
          <w:tcPr>
            <w:tcW w:w="900" w:type="dxa"/>
            <w:hideMark/>
          </w:tcPr>
          <w:p w14:paraId="21C8ED8A" w14:textId="77777777" w:rsidR="00B960BD" w:rsidRPr="00B82AEE" w:rsidRDefault="00B960BD" w:rsidP="00B960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HR-/LR-</w:t>
            </w:r>
          </w:p>
        </w:tc>
        <w:tc>
          <w:tcPr>
            <w:tcW w:w="720" w:type="dxa"/>
            <w:hideMark/>
          </w:tcPr>
          <w:p w14:paraId="344D7B0F" w14:textId="77777777" w:rsidR="00B960BD" w:rsidRPr="00B82AEE" w:rsidRDefault="00B960BD" w:rsidP="00B960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Mean Age</w:t>
            </w:r>
          </w:p>
          <w:p w14:paraId="1B76C392" w14:textId="77777777" w:rsidR="00B960BD" w:rsidRPr="00B82AEE" w:rsidRDefault="00B960BD" w:rsidP="00B960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(mo.)</w:t>
            </w:r>
          </w:p>
        </w:tc>
        <w:tc>
          <w:tcPr>
            <w:tcW w:w="1440" w:type="dxa"/>
            <w:hideMark/>
          </w:tcPr>
          <w:p w14:paraId="363978B4" w14:textId="77777777" w:rsidR="00B960BD" w:rsidRPr="00B82AEE" w:rsidRDefault="00B960BD" w:rsidP="00B960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Language Delay Criteria</w:t>
            </w:r>
          </w:p>
        </w:tc>
        <w:tc>
          <w:tcPr>
            <w:tcW w:w="1350" w:type="dxa"/>
          </w:tcPr>
          <w:p w14:paraId="55D861DD" w14:textId="77777777" w:rsidR="00B960BD" w:rsidRPr="00B82AEE" w:rsidRDefault="00B960BD" w:rsidP="00B960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Clinical Best Estimate Measures</w:t>
            </w:r>
          </w:p>
        </w:tc>
        <w:tc>
          <w:tcPr>
            <w:tcW w:w="1530" w:type="dxa"/>
          </w:tcPr>
          <w:p w14:paraId="692F3845" w14:textId="77777777" w:rsidR="00B960BD" w:rsidRPr="00B82AEE" w:rsidRDefault="00B960BD" w:rsidP="00B960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Language Delay</w:t>
            </w:r>
          </w:p>
          <w:p w14:paraId="538E98DD" w14:textId="77777777" w:rsidR="00B960BD" w:rsidRPr="00B82AEE" w:rsidRDefault="00B960BD" w:rsidP="00B960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(HR versus LR)</w:t>
            </w:r>
          </w:p>
        </w:tc>
        <w:tc>
          <w:tcPr>
            <w:tcW w:w="1368" w:type="dxa"/>
          </w:tcPr>
          <w:p w14:paraId="208B4269" w14:textId="77777777" w:rsidR="00B960BD" w:rsidRPr="00B82AEE" w:rsidRDefault="00B960BD" w:rsidP="00B960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MSEL</w:t>
            </w:r>
          </w:p>
          <w:p w14:paraId="197F6DBE" w14:textId="77777777" w:rsidR="00B960BD" w:rsidRPr="00B82AEE" w:rsidRDefault="00B960BD" w:rsidP="00B960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Receptive Language</w:t>
            </w:r>
          </w:p>
        </w:tc>
        <w:tc>
          <w:tcPr>
            <w:tcW w:w="1368" w:type="dxa"/>
            <w:gridSpan w:val="2"/>
          </w:tcPr>
          <w:p w14:paraId="48A1E352" w14:textId="77777777" w:rsidR="00B960BD" w:rsidRPr="00B82AEE" w:rsidRDefault="00B960BD" w:rsidP="00B960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MSEL Expressive Language</w:t>
            </w:r>
          </w:p>
        </w:tc>
      </w:tr>
      <w:tr w:rsidR="00A63E31" w:rsidRPr="00B82AEE" w14:paraId="712B5DC5" w14:textId="77777777" w:rsidTr="00042FF0">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397" w:type="dxa"/>
          </w:tcPr>
          <w:p w14:paraId="1AB0A892" w14:textId="24BA6615" w:rsidR="00B960BD" w:rsidRPr="00B82AEE" w:rsidRDefault="00B960BD" w:rsidP="00B960BD">
            <w:pPr>
              <w:spacing w:after="0" w:line="240" w:lineRule="auto"/>
              <w:rPr>
                <w:rFonts w:ascii="Arial Narrow" w:hAnsi="Arial Narrow" w:cs="Arial"/>
                <w:b w:val="0"/>
                <w:sz w:val="22"/>
                <w:szCs w:val="22"/>
                <w:lang w:val="sv-SE"/>
              </w:rPr>
            </w:pPr>
            <w:r w:rsidRPr="00B82AEE">
              <w:rPr>
                <w:rFonts w:ascii="Arial Narrow" w:hAnsi="Arial Narrow" w:cs="Arial"/>
                <w:b w:val="0"/>
                <w:sz w:val="22"/>
                <w:szCs w:val="22"/>
              </w:rPr>
              <w:t>Mitchell et al., 2006 [</w:t>
            </w:r>
            <w:r w:rsidR="00BE5272" w:rsidRPr="00B82AEE">
              <w:rPr>
                <w:rFonts w:ascii="Arial Narrow" w:hAnsi="Arial Narrow" w:cs="Arial"/>
                <w:b w:val="0"/>
                <w:noProof/>
                <w:sz w:val="22"/>
                <w:szCs w:val="22"/>
              </w:rPr>
              <w:t>3</w:t>
            </w:r>
            <w:r w:rsidRPr="00B82AEE">
              <w:rPr>
                <w:rFonts w:ascii="Arial Narrow" w:hAnsi="Arial Narrow" w:cs="Arial"/>
                <w:b w:val="0"/>
                <w:noProof/>
                <w:sz w:val="22"/>
                <w:szCs w:val="22"/>
              </w:rPr>
              <w:t>]</w:t>
            </w:r>
          </w:p>
        </w:tc>
        <w:tc>
          <w:tcPr>
            <w:tcW w:w="900" w:type="dxa"/>
          </w:tcPr>
          <w:p w14:paraId="063FB0AD"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91/52</w:t>
            </w:r>
          </w:p>
        </w:tc>
        <w:tc>
          <w:tcPr>
            <w:tcW w:w="720" w:type="dxa"/>
          </w:tcPr>
          <w:p w14:paraId="546982D6"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24</w:t>
            </w:r>
          </w:p>
        </w:tc>
        <w:tc>
          <w:tcPr>
            <w:tcW w:w="1440" w:type="dxa"/>
          </w:tcPr>
          <w:p w14:paraId="6ECD291A"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≤1.5 SD mean: MSEL or PLS</w:t>
            </w:r>
          </w:p>
        </w:tc>
        <w:tc>
          <w:tcPr>
            <w:tcW w:w="1350" w:type="dxa"/>
          </w:tcPr>
          <w:p w14:paraId="4FAEB0B9"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ADOS</w:t>
            </w:r>
          </w:p>
          <w:p w14:paraId="7BBE80CB"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DSM-IV-TR</w:t>
            </w:r>
          </w:p>
        </w:tc>
        <w:tc>
          <w:tcPr>
            <w:tcW w:w="1530" w:type="dxa"/>
          </w:tcPr>
          <w:p w14:paraId="565FF8E9"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 xml:space="preserve">OR=1.65 </w:t>
            </w:r>
          </w:p>
          <w:p w14:paraId="3ADCE494"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(.50-5.47)</w:t>
            </w:r>
          </w:p>
          <w:p w14:paraId="4739C4C0"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Χ</w:t>
            </w:r>
            <w:r w:rsidRPr="00B82AEE">
              <w:rPr>
                <w:rFonts w:ascii="Arial Narrow" w:hAnsi="Arial Narrow" w:cs="Arial"/>
                <w:sz w:val="22"/>
                <w:szCs w:val="22"/>
                <w:vertAlign w:val="superscript"/>
              </w:rPr>
              <w:t>2</w:t>
            </w:r>
            <w:r w:rsidRPr="00B82AEE">
              <w:rPr>
                <w:rFonts w:ascii="Arial Narrow" w:hAnsi="Arial Narrow" w:cs="Arial"/>
                <w:sz w:val="22"/>
                <w:szCs w:val="22"/>
              </w:rPr>
              <w:t>=.29, p=.59</w:t>
            </w:r>
          </w:p>
        </w:tc>
        <w:tc>
          <w:tcPr>
            <w:tcW w:w="1368" w:type="dxa"/>
          </w:tcPr>
          <w:p w14:paraId="0E3DE26E"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b/>
                <w:sz w:val="22"/>
                <w:szCs w:val="22"/>
              </w:rPr>
            </w:pPr>
            <w:r w:rsidRPr="00B82AEE">
              <w:rPr>
                <w:rFonts w:ascii="Arial Narrow" w:hAnsi="Arial Narrow" w:cs="Arial"/>
                <w:b/>
                <w:sz w:val="22"/>
                <w:szCs w:val="22"/>
              </w:rPr>
              <w:t>118.03 (12.72) 106.09 (18.42)</w:t>
            </w:r>
          </w:p>
        </w:tc>
        <w:tc>
          <w:tcPr>
            <w:tcW w:w="1368" w:type="dxa"/>
            <w:gridSpan w:val="2"/>
          </w:tcPr>
          <w:p w14:paraId="77243FEB"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b/>
                <w:sz w:val="22"/>
                <w:szCs w:val="22"/>
              </w:rPr>
            </w:pPr>
            <w:r w:rsidRPr="00B82AEE">
              <w:rPr>
                <w:rFonts w:ascii="Arial Narrow" w:hAnsi="Arial Narrow" w:cs="Arial"/>
                <w:b/>
                <w:sz w:val="22"/>
                <w:szCs w:val="22"/>
              </w:rPr>
              <w:t xml:space="preserve">106.98 (19.39) </w:t>
            </w:r>
          </w:p>
          <w:p w14:paraId="44B50FC9"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b/>
                <w:sz w:val="22"/>
                <w:szCs w:val="22"/>
              </w:rPr>
              <w:t>103.22 (16.10)</w:t>
            </w:r>
          </w:p>
        </w:tc>
      </w:tr>
      <w:tr w:rsidR="00A63E31" w:rsidRPr="00B82AEE" w14:paraId="4C67332E" w14:textId="77777777" w:rsidTr="00042FF0">
        <w:trPr>
          <w:trHeight w:val="20"/>
        </w:trPr>
        <w:tc>
          <w:tcPr>
            <w:cnfStyle w:val="001000000000" w:firstRow="0" w:lastRow="0" w:firstColumn="1" w:lastColumn="0" w:oddVBand="0" w:evenVBand="0" w:oddHBand="0" w:evenHBand="0" w:firstRowFirstColumn="0" w:firstRowLastColumn="0" w:lastRowFirstColumn="0" w:lastRowLastColumn="0"/>
            <w:tcW w:w="1397" w:type="dxa"/>
            <w:hideMark/>
          </w:tcPr>
          <w:p w14:paraId="27B940E9" w14:textId="55D35A71" w:rsidR="00B960BD" w:rsidRPr="00B82AEE" w:rsidRDefault="00B960BD" w:rsidP="00B960BD">
            <w:pPr>
              <w:spacing w:after="0" w:line="240" w:lineRule="auto"/>
              <w:rPr>
                <w:rFonts w:ascii="Arial Narrow" w:hAnsi="Arial Narrow" w:cs="Arial"/>
                <w:b w:val="0"/>
                <w:sz w:val="22"/>
                <w:szCs w:val="22"/>
              </w:rPr>
            </w:pPr>
            <w:r w:rsidRPr="00B82AEE">
              <w:rPr>
                <w:rFonts w:ascii="Arial Narrow" w:hAnsi="Arial Narrow" w:cs="Arial"/>
                <w:b w:val="0"/>
                <w:sz w:val="22"/>
                <w:szCs w:val="22"/>
              </w:rPr>
              <w:t>Toth et al., 2007 [</w:t>
            </w:r>
            <w:r w:rsidR="00E37D82">
              <w:rPr>
                <w:rFonts w:ascii="Arial Narrow" w:hAnsi="Arial Narrow" w:cs="Arial"/>
                <w:b w:val="0"/>
                <w:noProof/>
                <w:sz w:val="22"/>
                <w:szCs w:val="22"/>
              </w:rPr>
              <w:t>8</w:t>
            </w:r>
            <w:r w:rsidRPr="00B82AEE">
              <w:rPr>
                <w:rFonts w:ascii="Arial Narrow" w:hAnsi="Arial Narrow" w:cs="Arial"/>
                <w:b w:val="0"/>
                <w:noProof/>
                <w:sz w:val="22"/>
                <w:szCs w:val="22"/>
              </w:rPr>
              <w:t>]</w:t>
            </w:r>
          </w:p>
        </w:tc>
        <w:tc>
          <w:tcPr>
            <w:tcW w:w="900" w:type="dxa"/>
            <w:hideMark/>
          </w:tcPr>
          <w:p w14:paraId="08FBE551" w14:textId="77777777" w:rsidR="00B960BD" w:rsidRPr="00B82AEE" w:rsidRDefault="00B960BD"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42/20</w:t>
            </w:r>
          </w:p>
        </w:tc>
        <w:tc>
          <w:tcPr>
            <w:tcW w:w="720" w:type="dxa"/>
            <w:hideMark/>
          </w:tcPr>
          <w:p w14:paraId="42991085" w14:textId="77777777" w:rsidR="00B960BD" w:rsidRPr="00B82AEE" w:rsidRDefault="00B960BD"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21</w:t>
            </w:r>
          </w:p>
        </w:tc>
        <w:tc>
          <w:tcPr>
            <w:tcW w:w="1440" w:type="dxa"/>
            <w:hideMark/>
          </w:tcPr>
          <w:p w14:paraId="051B8BB9" w14:textId="77777777" w:rsidR="00B960BD" w:rsidRPr="00B82AEE" w:rsidRDefault="00B960BD"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n/a</w:t>
            </w:r>
          </w:p>
        </w:tc>
        <w:tc>
          <w:tcPr>
            <w:tcW w:w="1350" w:type="dxa"/>
          </w:tcPr>
          <w:p w14:paraId="0CCBDDAD" w14:textId="77777777" w:rsidR="00B960BD" w:rsidRPr="00B82AEE" w:rsidRDefault="00B960BD"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 xml:space="preserve">ADOS </w:t>
            </w:r>
          </w:p>
          <w:p w14:paraId="0403E26F" w14:textId="77777777" w:rsidR="00B960BD" w:rsidRPr="00B82AEE" w:rsidRDefault="00B960BD"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ADI-R</w:t>
            </w:r>
          </w:p>
          <w:p w14:paraId="241272B9" w14:textId="77777777" w:rsidR="00B960BD" w:rsidRPr="00B82AEE" w:rsidRDefault="00B960BD"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DSM-IV-TR</w:t>
            </w:r>
          </w:p>
        </w:tc>
        <w:tc>
          <w:tcPr>
            <w:tcW w:w="1530" w:type="dxa"/>
          </w:tcPr>
          <w:p w14:paraId="72C7F819" w14:textId="77777777" w:rsidR="00B960BD" w:rsidRPr="00B82AEE" w:rsidRDefault="00B960BD"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n/a</w:t>
            </w:r>
          </w:p>
        </w:tc>
        <w:tc>
          <w:tcPr>
            <w:tcW w:w="1368" w:type="dxa"/>
          </w:tcPr>
          <w:p w14:paraId="7C85CF90" w14:textId="77777777" w:rsidR="00B960BD" w:rsidRPr="00B82AEE" w:rsidRDefault="00B960BD"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b/>
                <w:sz w:val="22"/>
                <w:szCs w:val="22"/>
              </w:rPr>
            </w:pPr>
            <w:r w:rsidRPr="00B82AEE">
              <w:rPr>
                <w:rFonts w:ascii="Arial Narrow" w:hAnsi="Arial Narrow" w:cs="Arial"/>
                <w:b/>
                <w:sz w:val="22"/>
                <w:szCs w:val="22"/>
              </w:rPr>
              <w:t xml:space="preserve">54.50 (6.40) </w:t>
            </w:r>
          </w:p>
          <w:p w14:paraId="3478CA83" w14:textId="77777777" w:rsidR="00B960BD" w:rsidRPr="00B82AEE" w:rsidRDefault="00B960BD"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b/>
                <w:sz w:val="22"/>
                <w:szCs w:val="22"/>
              </w:rPr>
            </w:pPr>
            <w:r w:rsidRPr="00B82AEE">
              <w:rPr>
                <w:rFonts w:ascii="Arial Narrow" w:hAnsi="Arial Narrow" w:cs="Arial"/>
                <w:b/>
                <w:sz w:val="22"/>
                <w:szCs w:val="22"/>
              </w:rPr>
              <w:t>46.55 (15.60)</w:t>
            </w:r>
          </w:p>
        </w:tc>
        <w:tc>
          <w:tcPr>
            <w:tcW w:w="1368" w:type="dxa"/>
            <w:gridSpan w:val="2"/>
          </w:tcPr>
          <w:p w14:paraId="18FDDF88" w14:textId="77777777" w:rsidR="00B960BD" w:rsidRPr="00B82AEE" w:rsidRDefault="00B960BD"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 xml:space="preserve">48.45 (6.65) </w:t>
            </w:r>
          </w:p>
          <w:p w14:paraId="5E751303" w14:textId="77777777" w:rsidR="00B960BD" w:rsidRPr="00B82AEE" w:rsidRDefault="00B960BD"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49.07 (12.24)</w:t>
            </w:r>
          </w:p>
        </w:tc>
      </w:tr>
      <w:tr w:rsidR="00A63E31" w:rsidRPr="00B82AEE" w14:paraId="0ED57194" w14:textId="77777777" w:rsidTr="00042F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7" w:type="dxa"/>
            <w:hideMark/>
          </w:tcPr>
          <w:p w14:paraId="2E23446D" w14:textId="473DD92E" w:rsidR="00B960BD" w:rsidRPr="00B82AEE" w:rsidRDefault="00B960BD" w:rsidP="00B960BD">
            <w:pPr>
              <w:spacing w:after="0" w:line="240" w:lineRule="auto"/>
              <w:rPr>
                <w:rFonts w:ascii="Arial Narrow" w:hAnsi="Arial Narrow" w:cs="Arial"/>
                <w:b w:val="0"/>
                <w:sz w:val="22"/>
                <w:szCs w:val="22"/>
              </w:rPr>
            </w:pPr>
            <w:r w:rsidRPr="00B82AEE">
              <w:rPr>
                <w:rFonts w:ascii="Arial Narrow" w:hAnsi="Arial Narrow" w:cs="Arial"/>
                <w:b w:val="0"/>
                <w:sz w:val="22"/>
                <w:szCs w:val="22"/>
              </w:rPr>
              <w:t>Stone et al., 2007 [</w:t>
            </w:r>
            <w:r w:rsidR="00E37D82">
              <w:rPr>
                <w:rFonts w:ascii="Arial Narrow" w:hAnsi="Arial Narrow" w:cs="Arial"/>
                <w:b w:val="0"/>
                <w:noProof/>
                <w:sz w:val="22"/>
                <w:szCs w:val="22"/>
              </w:rPr>
              <w:t>9</w:t>
            </w:r>
            <w:r w:rsidRPr="00B82AEE">
              <w:rPr>
                <w:rFonts w:ascii="Arial Narrow" w:hAnsi="Arial Narrow" w:cs="Arial"/>
                <w:b w:val="0"/>
                <w:noProof/>
                <w:sz w:val="22"/>
                <w:szCs w:val="22"/>
              </w:rPr>
              <w:t>]</w:t>
            </w:r>
          </w:p>
        </w:tc>
        <w:tc>
          <w:tcPr>
            <w:tcW w:w="900" w:type="dxa"/>
            <w:hideMark/>
          </w:tcPr>
          <w:p w14:paraId="1A04E5D6"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64/42</w:t>
            </w:r>
          </w:p>
        </w:tc>
        <w:tc>
          <w:tcPr>
            <w:tcW w:w="720" w:type="dxa"/>
            <w:hideMark/>
          </w:tcPr>
          <w:p w14:paraId="48F20D38"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16</w:t>
            </w:r>
          </w:p>
        </w:tc>
        <w:tc>
          <w:tcPr>
            <w:tcW w:w="1440" w:type="dxa"/>
            <w:hideMark/>
          </w:tcPr>
          <w:p w14:paraId="08F20C51"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n/a</w:t>
            </w:r>
          </w:p>
        </w:tc>
        <w:tc>
          <w:tcPr>
            <w:tcW w:w="1350" w:type="dxa"/>
          </w:tcPr>
          <w:p w14:paraId="48CF3347"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n/a</w:t>
            </w:r>
          </w:p>
        </w:tc>
        <w:tc>
          <w:tcPr>
            <w:tcW w:w="1530" w:type="dxa"/>
          </w:tcPr>
          <w:p w14:paraId="4FEEF8F1"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n/a</w:t>
            </w:r>
          </w:p>
        </w:tc>
        <w:tc>
          <w:tcPr>
            <w:tcW w:w="1368" w:type="dxa"/>
          </w:tcPr>
          <w:p w14:paraId="1DD120B3"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 xml:space="preserve">48.2 (10.8) </w:t>
            </w:r>
          </w:p>
          <w:p w14:paraId="7AE0431F"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43.8 (12.6)</w:t>
            </w:r>
          </w:p>
        </w:tc>
        <w:tc>
          <w:tcPr>
            <w:tcW w:w="1368" w:type="dxa"/>
            <w:gridSpan w:val="2"/>
          </w:tcPr>
          <w:p w14:paraId="087C0323"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48.7 (10.5)</w:t>
            </w:r>
          </w:p>
          <w:p w14:paraId="18910765"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45.1 (11.1)</w:t>
            </w:r>
          </w:p>
        </w:tc>
      </w:tr>
      <w:tr w:rsidR="00A63E31" w:rsidRPr="00B82AEE" w14:paraId="47E6B00C" w14:textId="77777777" w:rsidTr="00042FF0">
        <w:trPr>
          <w:trHeight w:val="20"/>
        </w:trPr>
        <w:tc>
          <w:tcPr>
            <w:cnfStyle w:val="001000000000" w:firstRow="0" w:lastRow="0" w:firstColumn="1" w:lastColumn="0" w:oddVBand="0" w:evenVBand="0" w:oddHBand="0" w:evenHBand="0" w:firstRowFirstColumn="0" w:firstRowLastColumn="0" w:lastRowFirstColumn="0" w:lastRowLastColumn="0"/>
            <w:tcW w:w="1397" w:type="dxa"/>
            <w:hideMark/>
          </w:tcPr>
          <w:p w14:paraId="2D7303F9" w14:textId="5EBC601A" w:rsidR="00B960BD" w:rsidRPr="00B82AEE" w:rsidRDefault="00B960BD" w:rsidP="00B960BD">
            <w:pPr>
              <w:spacing w:after="0" w:line="240" w:lineRule="auto"/>
              <w:rPr>
                <w:rFonts w:ascii="Arial Narrow" w:hAnsi="Arial Narrow" w:cs="Arial"/>
                <w:b w:val="0"/>
                <w:sz w:val="22"/>
                <w:szCs w:val="22"/>
              </w:rPr>
            </w:pPr>
            <w:r w:rsidRPr="00B82AEE">
              <w:rPr>
                <w:rFonts w:ascii="Arial Narrow" w:hAnsi="Arial Narrow" w:cs="Arial"/>
                <w:b w:val="0"/>
                <w:sz w:val="22"/>
                <w:szCs w:val="22"/>
                <w:lang w:val="sv-SE"/>
              </w:rPr>
              <w:t>Paul et al., 201</w:t>
            </w:r>
            <w:r w:rsidR="008E599C" w:rsidRPr="00B82AEE">
              <w:rPr>
                <w:rFonts w:ascii="Arial Narrow" w:hAnsi="Arial Narrow" w:cs="Arial"/>
                <w:b w:val="0"/>
                <w:sz w:val="22"/>
                <w:szCs w:val="22"/>
                <w:lang w:val="sv-SE"/>
              </w:rPr>
              <w:t>1</w:t>
            </w:r>
            <w:r w:rsidRPr="00B82AEE">
              <w:rPr>
                <w:rFonts w:ascii="Arial Narrow" w:hAnsi="Arial Narrow" w:cs="Arial"/>
                <w:b w:val="0"/>
                <w:sz w:val="22"/>
                <w:szCs w:val="22"/>
                <w:lang w:val="sv-SE"/>
              </w:rPr>
              <w:t xml:space="preserve"> [</w:t>
            </w:r>
            <w:r w:rsidR="00BE5272" w:rsidRPr="00B82AEE">
              <w:rPr>
                <w:rFonts w:ascii="Arial Narrow" w:hAnsi="Arial Narrow" w:cs="Arial"/>
                <w:b w:val="0"/>
                <w:noProof/>
                <w:sz w:val="22"/>
                <w:szCs w:val="22"/>
                <w:lang w:val="sv-SE"/>
              </w:rPr>
              <w:t>1</w:t>
            </w:r>
            <w:r w:rsidR="00E37D82">
              <w:rPr>
                <w:rFonts w:ascii="Arial Narrow" w:hAnsi="Arial Narrow" w:cs="Arial"/>
                <w:b w:val="0"/>
                <w:noProof/>
                <w:sz w:val="22"/>
                <w:szCs w:val="22"/>
                <w:lang w:val="sv-SE"/>
              </w:rPr>
              <w:t>0</w:t>
            </w:r>
            <w:r w:rsidRPr="00B82AEE">
              <w:rPr>
                <w:rFonts w:ascii="Arial Narrow" w:hAnsi="Arial Narrow" w:cs="Arial"/>
                <w:b w:val="0"/>
                <w:noProof/>
                <w:sz w:val="22"/>
                <w:szCs w:val="22"/>
                <w:lang w:val="sv-SE"/>
              </w:rPr>
              <w:t>]</w:t>
            </w:r>
          </w:p>
        </w:tc>
        <w:tc>
          <w:tcPr>
            <w:tcW w:w="900" w:type="dxa"/>
            <w:hideMark/>
          </w:tcPr>
          <w:p w14:paraId="306C2CB1" w14:textId="77777777" w:rsidR="00B960BD" w:rsidRPr="00B82AEE" w:rsidRDefault="00B960BD"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38/31</w:t>
            </w:r>
          </w:p>
        </w:tc>
        <w:tc>
          <w:tcPr>
            <w:tcW w:w="720" w:type="dxa"/>
            <w:hideMark/>
          </w:tcPr>
          <w:p w14:paraId="40FB55D9" w14:textId="77777777" w:rsidR="00B960BD" w:rsidRPr="00B82AEE" w:rsidRDefault="00B960BD"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12</w:t>
            </w:r>
          </w:p>
        </w:tc>
        <w:tc>
          <w:tcPr>
            <w:tcW w:w="1440" w:type="dxa"/>
            <w:hideMark/>
          </w:tcPr>
          <w:p w14:paraId="05192D9E" w14:textId="77777777" w:rsidR="00B960BD" w:rsidRPr="00B82AEE" w:rsidRDefault="00B960BD"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n/a</w:t>
            </w:r>
          </w:p>
        </w:tc>
        <w:tc>
          <w:tcPr>
            <w:tcW w:w="1350" w:type="dxa"/>
          </w:tcPr>
          <w:p w14:paraId="31F7BA53" w14:textId="77777777" w:rsidR="00B960BD" w:rsidRPr="00B82AEE" w:rsidRDefault="00B960BD"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n/a</w:t>
            </w:r>
          </w:p>
        </w:tc>
        <w:tc>
          <w:tcPr>
            <w:tcW w:w="1530" w:type="dxa"/>
          </w:tcPr>
          <w:p w14:paraId="07B3D746" w14:textId="77777777" w:rsidR="00B960BD" w:rsidRPr="00B82AEE" w:rsidRDefault="00B960BD"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n/a</w:t>
            </w:r>
          </w:p>
        </w:tc>
        <w:tc>
          <w:tcPr>
            <w:tcW w:w="1368" w:type="dxa"/>
          </w:tcPr>
          <w:p w14:paraId="19565918" w14:textId="77777777" w:rsidR="00B960BD" w:rsidRPr="00B82AEE" w:rsidRDefault="00B960BD"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b/>
                <w:sz w:val="22"/>
                <w:szCs w:val="22"/>
              </w:rPr>
            </w:pPr>
            <w:r w:rsidRPr="00B82AEE">
              <w:rPr>
                <w:rFonts w:ascii="Arial Narrow" w:hAnsi="Arial Narrow" w:cs="Arial"/>
                <w:b/>
                <w:sz w:val="22"/>
                <w:szCs w:val="22"/>
              </w:rPr>
              <w:t xml:space="preserve">46.1 (7.2) </w:t>
            </w:r>
          </w:p>
          <w:p w14:paraId="20A4BE32" w14:textId="77777777" w:rsidR="00B960BD" w:rsidRPr="00B82AEE" w:rsidRDefault="00B960BD"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b/>
                <w:sz w:val="22"/>
                <w:szCs w:val="22"/>
              </w:rPr>
            </w:pPr>
            <w:r w:rsidRPr="00B82AEE">
              <w:rPr>
                <w:rFonts w:ascii="Arial Narrow" w:hAnsi="Arial Narrow" w:cs="Arial"/>
                <w:b/>
                <w:sz w:val="22"/>
                <w:szCs w:val="22"/>
              </w:rPr>
              <w:t>41.1 (9.7)</w:t>
            </w:r>
          </w:p>
        </w:tc>
        <w:tc>
          <w:tcPr>
            <w:tcW w:w="1368" w:type="dxa"/>
            <w:gridSpan w:val="2"/>
          </w:tcPr>
          <w:p w14:paraId="6B213AC9" w14:textId="77777777" w:rsidR="00B960BD" w:rsidRPr="00B82AEE" w:rsidRDefault="00B960BD"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b/>
                <w:sz w:val="22"/>
                <w:szCs w:val="22"/>
              </w:rPr>
            </w:pPr>
            <w:r w:rsidRPr="00B82AEE">
              <w:rPr>
                <w:rFonts w:ascii="Arial Narrow" w:hAnsi="Arial Narrow" w:cs="Arial"/>
                <w:b/>
                <w:sz w:val="22"/>
                <w:szCs w:val="22"/>
              </w:rPr>
              <w:t>47.4 (12.0)</w:t>
            </w:r>
          </w:p>
          <w:p w14:paraId="74D91AD1" w14:textId="77777777" w:rsidR="00B960BD" w:rsidRPr="00B82AEE" w:rsidRDefault="00B960BD"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b/>
                <w:sz w:val="22"/>
                <w:szCs w:val="22"/>
              </w:rPr>
              <w:t>40.8 (10.7)</w:t>
            </w:r>
          </w:p>
        </w:tc>
      </w:tr>
      <w:tr w:rsidR="00A63E31" w:rsidRPr="00B82AEE" w14:paraId="0572D59B" w14:textId="77777777" w:rsidTr="00042F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7" w:type="dxa"/>
          </w:tcPr>
          <w:p w14:paraId="77FC9A64" w14:textId="02233BA0" w:rsidR="00B960BD" w:rsidRPr="00B82AEE" w:rsidRDefault="00B960BD" w:rsidP="00B960BD">
            <w:pPr>
              <w:spacing w:after="0" w:line="240" w:lineRule="auto"/>
              <w:rPr>
                <w:rFonts w:ascii="Arial Narrow" w:hAnsi="Arial Narrow" w:cs="Arial"/>
                <w:b w:val="0"/>
                <w:sz w:val="22"/>
                <w:szCs w:val="22"/>
                <w:lang w:val="sv-SE"/>
              </w:rPr>
            </w:pPr>
            <w:r w:rsidRPr="00B82AEE">
              <w:rPr>
                <w:rFonts w:ascii="Arial Narrow" w:hAnsi="Arial Narrow" w:cs="Arial"/>
                <w:b w:val="0"/>
                <w:sz w:val="22"/>
                <w:szCs w:val="22"/>
                <w:lang w:val="sv-SE"/>
              </w:rPr>
              <w:t>Curtin &amp; Vouloumanos, 2013 [</w:t>
            </w:r>
            <w:r w:rsidR="00137600" w:rsidRPr="00B82AEE">
              <w:rPr>
                <w:rFonts w:ascii="Arial Narrow" w:hAnsi="Arial Narrow" w:cs="Arial"/>
                <w:b w:val="0"/>
                <w:noProof/>
                <w:sz w:val="22"/>
                <w:szCs w:val="22"/>
                <w:lang w:val="sv-SE"/>
              </w:rPr>
              <w:t>1</w:t>
            </w:r>
            <w:r w:rsidR="00E37D82">
              <w:rPr>
                <w:rFonts w:ascii="Arial Narrow" w:hAnsi="Arial Narrow" w:cs="Arial"/>
                <w:b w:val="0"/>
                <w:noProof/>
                <w:sz w:val="22"/>
                <w:szCs w:val="22"/>
                <w:lang w:val="sv-SE"/>
              </w:rPr>
              <w:t>1</w:t>
            </w:r>
            <w:r w:rsidRPr="00B82AEE">
              <w:rPr>
                <w:rFonts w:ascii="Arial Narrow" w:hAnsi="Arial Narrow" w:cs="Arial"/>
                <w:b w:val="0"/>
                <w:noProof/>
                <w:sz w:val="22"/>
                <w:szCs w:val="22"/>
                <w:lang w:val="sv-SE"/>
              </w:rPr>
              <w:t>]</w:t>
            </w:r>
          </w:p>
        </w:tc>
        <w:tc>
          <w:tcPr>
            <w:tcW w:w="900" w:type="dxa"/>
          </w:tcPr>
          <w:p w14:paraId="30BBECF5"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38/31</w:t>
            </w:r>
          </w:p>
        </w:tc>
        <w:tc>
          <w:tcPr>
            <w:tcW w:w="720" w:type="dxa"/>
          </w:tcPr>
          <w:p w14:paraId="347E4BF2"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12</w:t>
            </w:r>
          </w:p>
        </w:tc>
        <w:tc>
          <w:tcPr>
            <w:tcW w:w="1440" w:type="dxa"/>
          </w:tcPr>
          <w:p w14:paraId="6C344DB1"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n/a</w:t>
            </w:r>
          </w:p>
        </w:tc>
        <w:tc>
          <w:tcPr>
            <w:tcW w:w="1350" w:type="dxa"/>
          </w:tcPr>
          <w:p w14:paraId="2D9563C8"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n/a</w:t>
            </w:r>
          </w:p>
        </w:tc>
        <w:tc>
          <w:tcPr>
            <w:tcW w:w="1530" w:type="dxa"/>
          </w:tcPr>
          <w:p w14:paraId="5721B976"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n/a</w:t>
            </w:r>
          </w:p>
        </w:tc>
        <w:tc>
          <w:tcPr>
            <w:tcW w:w="1368" w:type="dxa"/>
          </w:tcPr>
          <w:p w14:paraId="43D4BA7C"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b/>
                <w:sz w:val="22"/>
                <w:szCs w:val="22"/>
              </w:rPr>
            </w:pPr>
            <w:r w:rsidRPr="00B82AEE">
              <w:rPr>
                <w:rFonts w:ascii="Arial Narrow" w:hAnsi="Arial Narrow" w:cs="Arial"/>
                <w:b/>
                <w:sz w:val="22"/>
                <w:szCs w:val="22"/>
              </w:rPr>
              <w:t>45.97 (7.11)</w:t>
            </w:r>
          </w:p>
          <w:p w14:paraId="5302FFFC"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b/>
                <w:sz w:val="22"/>
                <w:szCs w:val="22"/>
              </w:rPr>
            </w:pPr>
            <w:r w:rsidRPr="00B82AEE">
              <w:rPr>
                <w:rFonts w:ascii="Arial Narrow" w:hAnsi="Arial Narrow" w:cs="Arial"/>
                <w:b/>
                <w:sz w:val="22"/>
                <w:szCs w:val="22"/>
              </w:rPr>
              <w:t>42.16 (7.14)</w:t>
            </w:r>
          </w:p>
        </w:tc>
        <w:tc>
          <w:tcPr>
            <w:tcW w:w="1368" w:type="dxa"/>
            <w:gridSpan w:val="2"/>
          </w:tcPr>
          <w:p w14:paraId="352357B1"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53.93 (10.47)</w:t>
            </w:r>
          </w:p>
          <w:p w14:paraId="27E7DF6B"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49.87 (11.04)</w:t>
            </w:r>
          </w:p>
        </w:tc>
      </w:tr>
      <w:tr w:rsidR="00A63E31" w:rsidRPr="00B82AEE" w14:paraId="4D543659" w14:textId="77777777" w:rsidTr="00042FF0">
        <w:trPr>
          <w:trHeight w:val="20"/>
        </w:trPr>
        <w:tc>
          <w:tcPr>
            <w:cnfStyle w:val="001000000000" w:firstRow="0" w:lastRow="0" w:firstColumn="1" w:lastColumn="0" w:oddVBand="0" w:evenVBand="0" w:oddHBand="0" w:evenHBand="0" w:firstRowFirstColumn="0" w:firstRowLastColumn="0" w:lastRowFirstColumn="0" w:lastRowLastColumn="0"/>
            <w:tcW w:w="1397" w:type="dxa"/>
          </w:tcPr>
          <w:p w14:paraId="263EB228" w14:textId="1E968F09" w:rsidR="00256DD2" w:rsidRPr="00B82AEE" w:rsidRDefault="00E106A1" w:rsidP="00B960BD">
            <w:pPr>
              <w:spacing w:after="0" w:line="240" w:lineRule="auto"/>
              <w:rPr>
                <w:rFonts w:ascii="Arial Narrow" w:hAnsi="Arial Narrow" w:cs="Arial"/>
                <w:b w:val="0"/>
                <w:sz w:val="22"/>
                <w:szCs w:val="22"/>
                <w:lang w:val="sv-SE"/>
              </w:rPr>
            </w:pPr>
            <w:r w:rsidRPr="00B82AEE">
              <w:rPr>
                <w:rFonts w:ascii="Arial Narrow" w:hAnsi="Arial Narrow" w:cs="Arial"/>
                <w:b w:val="0"/>
                <w:sz w:val="22"/>
                <w:szCs w:val="22"/>
                <w:lang w:val="sv-SE"/>
              </w:rPr>
              <w:t>Ozonoff et al., 2014 [</w:t>
            </w:r>
            <w:r w:rsidR="00137600" w:rsidRPr="00B82AEE">
              <w:rPr>
                <w:rFonts w:ascii="Arial Narrow" w:hAnsi="Arial Narrow" w:cs="Arial"/>
                <w:b w:val="0"/>
                <w:sz w:val="22"/>
                <w:szCs w:val="22"/>
                <w:lang w:val="sv-SE"/>
              </w:rPr>
              <w:t>1</w:t>
            </w:r>
            <w:r w:rsidR="00E37D82">
              <w:rPr>
                <w:rFonts w:ascii="Arial Narrow" w:hAnsi="Arial Narrow" w:cs="Arial"/>
                <w:b w:val="0"/>
                <w:sz w:val="22"/>
                <w:szCs w:val="22"/>
                <w:lang w:val="sv-SE"/>
              </w:rPr>
              <w:t>2</w:t>
            </w:r>
            <w:r w:rsidRPr="00B82AEE">
              <w:rPr>
                <w:rFonts w:ascii="Arial Narrow" w:hAnsi="Arial Narrow" w:cs="Arial"/>
                <w:b w:val="0"/>
                <w:sz w:val="22"/>
                <w:szCs w:val="22"/>
                <w:lang w:val="sv-SE"/>
              </w:rPr>
              <w:t>]</w:t>
            </w:r>
          </w:p>
        </w:tc>
        <w:tc>
          <w:tcPr>
            <w:tcW w:w="900" w:type="dxa"/>
          </w:tcPr>
          <w:p w14:paraId="4E456EBD" w14:textId="4CDC09CB" w:rsidR="00256DD2" w:rsidRPr="00B82AEE" w:rsidRDefault="008039DC"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243/1</w:t>
            </w:r>
            <w:r w:rsidR="00290774" w:rsidRPr="00B82AEE">
              <w:rPr>
                <w:rFonts w:ascii="Arial Narrow" w:hAnsi="Arial Narrow" w:cs="Arial"/>
                <w:sz w:val="22"/>
                <w:szCs w:val="22"/>
              </w:rPr>
              <w:t>1</w:t>
            </w:r>
            <w:r w:rsidRPr="00B82AEE">
              <w:rPr>
                <w:rFonts w:ascii="Arial Narrow" w:hAnsi="Arial Narrow" w:cs="Arial"/>
                <w:sz w:val="22"/>
                <w:szCs w:val="22"/>
              </w:rPr>
              <w:t>6</w:t>
            </w:r>
          </w:p>
        </w:tc>
        <w:tc>
          <w:tcPr>
            <w:tcW w:w="720" w:type="dxa"/>
          </w:tcPr>
          <w:p w14:paraId="58B62A11" w14:textId="1A68FAA5" w:rsidR="00256DD2" w:rsidRPr="00B82AEE" w:rsidRDefault="00E106A1"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24</w:t>
            </w:r>
          </w:p>
        </w:tc>
        <w:tc>
          <w:tcPr>
            <w:tcW w:w="1440" w:type="dxa"/>
          </w:tcPr>
          <w:p w14:paraId="5F78AD1C" w14:textId="566E661C" w:rsidR="00256DD2" w:rsidRPr="00B82AEE" w:rsidRDefault="00E106A1"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n/a</w:t>
            </w:r>
          </w:p>
        </w:tc>
        <w:tc>
          <w:tcPr>
            <w:tcW w:w="1350" w:type="dxa"/>
          </w:tcPr>
          <w:p w14:paraId="14D1F23B" w14:textId="77777777" w:rsidR="00290774" w:rsidRPr="00B82AEE" w:rsidRDefault="00290774" w:rsidP="00290774">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ADOS</w:t>
            </w:r>
          </w:p>
          <w:p w14:paraId="3395EA55" w14:textId="55467343" w:rsidR="00256DD2" w:rsidRPr="00B82AEE" w:rsidRDefault="00290774" w:rsidP="00290774">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DSM-IV-TR</w:t>
            </w:r>
          </w:p>
        </w:tc>
        <w:tc>
          <w:tcPr>
            <w:tcW w:w="1530" w:type="dxa"/>
          </w:tcPr>
          <w:p w14:paraId="194B8C95" w14:textId="2D182CB8" w:rsidR="00256DD2" w:rsidRPr="00B82AEE" w:rsidRDefault="00E106A1"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n/a</w:t>
            </w:r>
          </w:p>
        </w:tc>
        <w:tc>
          <w:tcPr>
            <w:tcW w:w="1368" w:type="dxa"/>
          </w:tcPr>
          <w:p w14:paraId="1C8FD26F" w14:textId="77777777" w:rsidR="00256DD2" w:rsidRPr="00B82AEE" w:rsidRDefault="00290774"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b/>
                <w:sz w:val="22"/>
                <w:szCs w:val="22"/>
              </w:rPr>
            </w:pPr>
            <w:r w:rsidRPr="00B82AEE">
              <w:rPr>
                <w:rFonts w:ascii="Arial Narrow" w:hAnsi="Arial Narrow" w:cs="Arial"/>
                <w:b/>
                <w:sz w:val="22"/>
                <w:szCs w:val="22"/>
              </w:rPr>
              <w:t>25.6 (3.6)</w:t>
            </w:r>
          </w:p>
          <w:p w14:paraId="025CF178" w14:textId="447C9297" w:rsidR="00290774" w:rsidRPr="00B82AEE" w:rsidRDefault="00290774"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b/>
                <w:sz w:val="22"/>
                <w:szCs w:val="22"/>
              </w:rPr>
            </w:pPr>
            <w:r w:rsidRPr="00B82AEE">
              <w:rPr>
                <w:rFonts w:ascii="Arial Narrow" w:hAnsi="Arial Narrow" w:cs="Arial"/>
                <w:b/>
                <w:sz w:val="22"/>
                <w:szCs w:val="22"/>
              </w:rPr>
              <w:t>23.2 (3.5)</w:t>
            </w:r>
          </w:p>
        </w:tc>
        <w:tc>
          <w:tcPr>
            <w:tcW w:w="1368" w:type="dxa"/>
            <w:gridSpan w:val="2"/>
          </w:tcPr>
          <w:p w14:paraId="0A971189" w14:textId="77777777" w:rsidR="00256DD2" w:rsidRPr="00B82AEE" w:rsidRDefault="00290774"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b/>
                <w:sz w:val="22"/>
                <w:szCs w:val="22"/>
              </w:rPr>
            </w:pPr>
            <w:r w:rsidRPr="00B82AEE">
              <w:rPr>
                <w:rFonts w:ascii="Arial Narrow" w:hAnsi="Arial Narrow" w:cs="Arial"/>
                <w:b/>
                <w:sz w:val="22"/>
                <w:szCs w:val="22"/>
              </w:rPr>
              <w:t>23.4 (2.7)</w:t>
            </w:r>
          </w:p>
          <w:p w14:paraId="42A84B0E" w14:textId="11FC7F50" w:rsidR="00290774" w:rsidRPr="00B82AEE" w:rsidRDefault="00290774" w:rsidP="00B960B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b/>
                <w:sz w:val="22"/>
                <w:szCs w:val="22"/>
              </w:rPr>
            </w:pPr>
            <w:r w:rsidRPr="00B82AEE">
              <w:rPr>
                <w:rFonts w:ascii="Arial Narrow" w:hAnsi="Arial Narrow" w:cs="Arial"/>
                <w:b/>
                <w:sz w:val="22"/>
                <w:szCs w:val="22"/>
              </w:rPr>
              <w:t>22.1 (2.7)</w:t>
            </w:r>
          </w:p>
        </w:tc>
      </w:tr>
      <w:tr w:rsidR="00A63E31" w:rsidRPr="00B82AEE" w14:paraId="603E1D71" w14:textId="77777777" w:rsidTr="00042F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7" w:type="dxa"/>
          </w:tcPr>
          <w:p w14:paraId="21794499" w14:textId="645BD6F5" w:rsidR="00B960BD" w:rsidRPr="00B82AEE" w:rsidRDefault="00B960BD" w:rsidP="00B960BD">
            <w:pPr>
              <w:spacing w:after="0" w:line="240" w:lineRule="auto"/>
              <w:rPr>
                <w:rFonts w:ascii="Arial Narrow" w:hAnsi="Arial Narrow" w:cs="Arial"/>
                <w:b w:val="0"/>
                <w:sz w:val="22"/>
                <w:szCs w:val="22"/>
                <w:lang w:val="sv-SE"/>
              </w:rPr>
            </w:pPr>
            <w:r w:rsidRPr="00B82AEE">
              <w:rPr>
                <w:rFonts w:ascii="Arial Narrow" w:hAnsi="Arial Narrow" w:cs="Arial"/>
                <w:b w:val="0"/>
                <w:sz w:val="22"/>
                <w:szCs w:val="22"/>
                <w:lang w:val="sv-SE"/>
              </w:rPr>
              <w:t>Finch et al., 201</w:t>
            </w:r>
            <w:r w:rsidR="006F5F11" w:rsidRPr="00B82AEE">
              <w:rPr>
                <w:rFonts w:ascii="Arial Narrow" w:hAnsi="Arial Narrow" w:cs="Arial"/>
                <w:b w:val="0"/>
                <w:sz w:val="22"/>
                <w:szCs w:val="22"/>
                <w:lang w:val="sv-SE"/>
              </w:rPr>
              <w:t>7</w:t>
            </w:r>
            <w:r w:rsidRPr="00B82AEE">
              <w:rPr>
                <w:rFonts w:ascii="Arial Narrow" w:hAnsi="Arial Narrow" w:cs="Arial"/>
                <w:b w:val="0"/>
                <w:sz w:val="22"/>
                <w:szCs w:val="22"/>
                <w:lang w:val="sv-SE"/>
              </w:rPr>
              <w:t xml:space="preserve"> [</w:t>
            </w:r>
            <w:r w:rsidR="008039DC" w:rsidRPr="00B82AEE">
              <w:rPr>
                <w:rFonts w:ascii="Arial Narrow" w:hAnsi="Arial Narrow" w:cs="Arial"/>
                <w:b w:val="0"/>
                <w:noProof/>
                <w:sz w:val="22"/>
                <w:szCs w:val="22"/>
                <w:lang w:val="sv-SE"/>
              </w:rPr>
              <w:t>1</w:t>
            </w:r>
            <w:r w:rsidR="00E37D82">
              <w:rPr>
                <w:rFonts w:ascii="Arial Narrow" w:hAnsi="Arial Narrow" w:cs="Arial"/>
                <w:b w:val="0"/>
                <w:noProof/>
                <w:sz w:val="22"/>
                <w:szCs w:val="22"/>
                <w:lang w:val="sv-SE"/>
              </w:rPr>
              <w:t>3</w:t>
            </w:r>
            <w:r w:rsidRPr="00B82AEE">
              <w:rPr>
                <w:rFonts w:ascii="Arial Narrow" w:hAnsi="Arial Narrow" w:cs="Arial"/>
                <w:b w:val="0"/>
                <w:noProof/>
                <w:sz w:val="22"/>
                <w:szCs w:val="22"/>
                <w:lang w:val="sv-SE"/>
              </w:rPr>
              <w:t>]</w:t>
            </w:r>
          </w:p>
        </w:tc>
        <w:tc>
          <w:tcPr>
            <w:tcW w:w="900" w:type="dxa"/>
          </w:tcPr>
          <w:p w14:paraId="44495848"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61/71</w:t>
            </w:r>
          </w:p>
        </w:tc>
        <w:tc>
          <w:tcPr>
            <w:tcW w:w="720" w:type="dxa"/>
          </w:tcPr>
          <w:p w14:paraId="4CCC8C8F"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24</w:t>
            </w:r>
          </w:p>
        </w:tc>
        <w:tc>
          <w:tcPr>
            <w:tcW w:w="1440" w:type="dxa"/>
          </w:tcPr>
          <w:p w14:paraId="5E3931F3"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n/a</w:t>
            </w:r>
          </w:p>
        </w:tc>
        <w:tc>
          <w:tcPr>
            <w:tcW w:w="1350" w:type="dxa"/>
          </w:tcPr>
          <w:p w14:paraId="533E159C"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ADOS</w:t>
            </w:r>
          </w:p>
        </w:tc>
        <w:tc>
          <w:tcPr>
            <w:tcW w:w="1530" w:type="dxa"/>
          </w:tcPr>
          <w:p w14:paraId="0FCFF5D0"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sz w:val="22"/>
                <w:szCs w:val="22"/>
              </w:rPr>
              <w:t>n/a</w:t>
            </w:r>
          </w:p>
        </w:tc>
        <w:tc>
          <w:tcPr>
            <w:tcW w:w="1368" w:type="dxa"/>
          </w:tcPr>
          <w:p w14:paraId="3815F4DE"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b/>
                <w:sz w:val="22"/>
                <w:szCs w:val="22"/>
              </w:rPr>
            </w:pPr>
            <w:r w:rsidRPr="00B82AEE">
              <w:rPr>
                <w:rFonts w:ascii="Arial Narrow" w:hAnsi="Arial Narrow" w:cs="Arial"/>
                <w:b/>
                <w:sz w:val="22"/>
                <w:szCs w:val="22"/>
              </w:rPr>
              <w:t>58.82 (7.8)</w:t>
            </w:r>
          </w:p>
          <w:p w14:paraId="3D5FCD5A"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b/>
                <w:sz w:val="22"/>
                <w:szCs w:val="22"/>
              </w:rPr>
            </w:pPr>
            <w:r w:rsidRPr="00B82AEE">
              <w:rPr>
                <w:rFonts w:ascii="Arial Narrow" w:hAnsi="Arial Narrow" w:cs="Arial"/>
                <w:b/>
                <w:sz w:val="22"/>
                <w:szCs w:val="22"/>
              </w:rPr>
              <w:t>54.55 (8.9)</w:t>
            </w:r>
          </w:p>
        </w:tc>
        <w:tc>
          <w:tcPr>
            <w:tcW w:w="1368" w:type="dxa"/>
            <w:gridSpan w:val="2"/>
          </w:tcPr>
          <w:p w14:paraId="1F55D455"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b/>
                <w:sz w:val="22"/>
                <w:szCs w:val="22"/>
              </w:rPr>
            </w:pPr>
            <w:r w:rsidRPr="00B82AEE">
              <w:rPr>
                <w:rFonts w:ascii="Arial Narrow" w:hAnsi="Arial Narrow" w:cs="Arial"/>
                <w:b/>
                <w:sz w:val="22"/>
                <w:szCs w:val="22"/>
              </w:rPr>
              <w:t>56.65 (9.8)</w:t>
            </w:r>
          </w:p>
          <w:p w14:paraId="3ABF842A" w14:textId="77777777" w:rsidR="00B960BD" w:rsidRPr="00B82AEE" w:rsidRDefault="00B960BD" w:rsidP="00B960BD">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rPr>
            </w:pPr>
            <w:r w:rsidRPr="00B82AEE">
              <w:rPr>
                <w:rFonts w:ascii="Arial Narrow" w:hAnsi="Arial Narrow" w:cs="Arial"/>
                <w:b/>
                <w:sz w:val="22"/>
                <w:szCs w:val="22"/>
              </w:rPr>
              <w:t>53.41 (9.9)</w:t>
            </w:r>
          </w:p>
        </w:tc>
      </w:tr>
      <w:tr w:rsidR="00B960BD" w:rsidRPr="00B82AEE" w14:paraId="71B8B429" w14:textId="77777777" w:rsidTr="00042FF0">
        <w:trPr>
          <w:gridAfter w:val="1"/>
          <w:wAfter w:w="7" w:type="dxa"/>
          <w:trHeight w:val="20"/>
        </w:trPr>
        <w:tc>
          <w:tcPr>
            <w:cnfStyle w:val="001000000000" w:firstRow="0" w:lastRow="0" w:firstColumn="1" w:lastColumn="0" w:oddVBand="0" w:evenVBand="0" w:oddHBand="0" w:evenHBand="0" w:firstRowFirstColumn="0" w:firstRowLastColumn="0" w:lastRowFirstColumn="0" w:lastRowLastColumn="0"/>
            <w:tcW w:w="10066" w:type="dxa"/>
            <w:gridSpan w:val="8"/>
          </w:tcPr>
          <w:p w14:paraId="49FC5E41" w14:textId="27537C4D" w:rsidR="00B960BD" w:rsidRPr="00B82AEE" w:rsidRDefault="00B960BD" w:rsidP="00A63E31">
            <w:pPr>
              <w:spacing w:after="0" w:line="320" w:lineRule="exact"/>
              <w:jc w:val="both"/>
              <w:rPr>
                <w:rFonts w:ascii="Arial Narrow" w:hAnsi="Arial Narrow" w:cs="Arial"/>
                <w:b w:val="0"/>
                <w:sz w:val="22"/>
                <w:szCs w:val="22"/>
              </w:rPr>
            </w:pPr>
            <w:r w:rsidRPr="00B82AEE">
              <w:rPr>
                <w:rFonts w:ascii="Arial Narrow" w:hAnsi="Arial Narrow" w:cs="Arial"/>
                <w:b w:val="0"/>
                <w:sz w:val="22"/>
                <w:szCs w:val="22"/>
              </w:rPr>
              <w:t xml:space="preserve">This meta-analysis </w:t>
            </w:r>
            <w:r w:rsidR="00534846" w:rsidRPr="00B82AEE">
              <w:rPr>
                <w:rFonts w:ascii="Arial Narrow" w:hAnsi="Arial Narrow" w:cs="Arial"/>
                <w:b w:val="0"/>
                <w:sz w:val="22"/>
                <w:szCs w:val="22"/>
              </w:rPr>
              <w:t xml:space="preserve">of language scores </w:t>
            </w:r>
            <w:r w:rsidRPr="00B82AEE">
              <w:rPr>
                <w:rFonts w:ascii="Arial Narrow" w:hAnsi="Arial Narrow" w:cs="Arial"/>
                <w:b w:val="0"/>
                <w:sz w:val="22"/>
                <w:szCs w:val="22"/>
              </w:rPr>
              <w:t xml:space="preserve">replaces the large Baby Sibling Research Consortium (BSRC) Study by </w:t>
            </w:r>
            <w:proofErr w:type="spellStart"/>
            <w:r w:rsidRPr="00B82AEE">
              <w:rPr>
                <w:rFonts w:ascii="Arial Narrow" w:hAnsi="Arial Narrow" w:cs="Arial"/>
                <w:b w:val="0"/>
                <w:sz w:val="22"/>
                <w:szCs w:val="22"/>
              </w:rPr>
              <w:t>Messinger</w:t>
            </w:r>
            <w:proofErr w:type="spellEnd"/>
            <w:r w:rsidRPr="00B82AEE">
              <w:rPr>
                <w:rFonts w:ascii="Arial Narrow" w:hAnsi="Arial Narrow" w:cs="Arial"/>
                <w:b w:val="0"/>
                <w:sz w:val="22"/>
                <w:szCs w:val="22"/>
              </w:rPr>
              <w:t xml:space="preserve"> et al. [</w:t>
            </w:r>
            <w:r w:rsidR="00BE5272" w:rsidRPr="00B82AEE">
              <w:rPr>
                <w:rFonts w:ascii="Arial Narrow" w:hAnsi="Arial Narrow" w:cs="Arial"/>
                <w:b w:val="0"/>
                <w:sz w:val="22"/>
                <w:szCs w:val="22"/>
              </w:rPr>
              <w:t>2</w:t>
            </w:r>
            <w:r w:rsidRPr="00B82AEE">
              <w:rPr>
                <w:rFonts w:ascii="Arial Narrow" w:hAnsi="Arial Narrow" w:cs="Arial"/>
                <w:b w:val="0"/>
                <w:sz w:val="22"/>
                <w:szCs w:val="22"/>
              </w:rPr>
              <w:t>] with smaller studies [</w:t>
            </w:r>
            <w:r w:rsidR="00814835" w:rsidRPr="00B82AEE">
              <w:rPr>
                <w:rFonts w:ascii="Arial Narrow" w:hAnsi="Arial Narrow" w:cs="Arial"/>
                <w:b w:val="0"/>
                <w:sz w:val="22"/>
                <w:szCs w:val="22"/>
              </w:rPr>
              <w:t>3, 1</w:t>
            </w:r>
            <w:r w:rsidR="00E37D82">
              <w:rPr>
                <w:rFonts w:ascii="Arial Narrow" w:hAnsi="Arial Narrow" w:cs="Arial"/>
                <w:b w:val="0"/>
                <w:sz w:val="22"/>
                <w:szCs w:val="22"/>
              </w:rPr>
              <w:t>2</w:t>
            </w:r>
            <w:r w:rsidR="00814835" w:rsidRPr="00B82AEE">
              <w:rPr>
                <w:rFonts w:ascii="Arial Narrow" w:hAnsi="Arial Narrow" w:cs="Arial"/>
                <w:b w:val="0"/>
                <w:sz w:val="22"/>
                <w:szCs w:val="22"/>
              </w:rPr>
              <w:t>, 1</w:t>
            </w:r>
            <w:r w:rsidR="00E37D82">
              <w:rPr>
                <w:rFonts w:ascii="Arial Narrow" w:hAnsi="Arial Narrow" w:cs="Arial"/>
                <w:b w:val="0"/>
                <w:sz w:val="22"/>
                <w:szCs w:val="22"/>
              </w:rPr>
              <w:t>3</w:t>
            </w:r>
            <w:r w:rsidRPr="00B82AEE">
              <w:rPr>
                <w:rFonts w:ascii="Arial Narrow" w:hAnsi="Arial Narrow" w:cs="Arial"/>
                <w:b w:val="0"/>
                <w:sz w:val="22"/>
                <w:szCs w:val="22"/>
              </w:rPr>
              <w:t xml:space="preserve">] whose subjects overlapped with the BSRC study. Except where stated, language delay was defined as either receptive or expressive language delay. Odds ratios (ORs) for language delay are listed with 95% confidence intervals in parentheses. Language scores consist of T-scores </w:t>
            </w:r>
            <w:r w:rsidR="00105F1E" w:rsidRPr="00B82AEE">
              <w:rPr>
                <w:rFonts w:ascii="Arial Narrow" w:hAnsi="Arial Narrow" w:cs="Arial"/>
                <w:b w:val="0"/>
                <w:sz w:val="22"/>
                <w:szCs w:val="22"/>
              </w:rPr>
              <w:t xml:space="preserve">on the Mullen Scales of Early Learning (MSEL) for all studies except Mitchell et al. </w:t>
            </w:r>
            <w:r w:rsidR="00AD29B0" w:rsidRPr="00B82AEE">
              <w:rPr>
                <w:rFonts w:ascii="Arial Narrow" w:hAnsi="Arial Narrow" w:cs="Arial"/>
                <w:b w:val="0"/>
                <w:sz w:val="22"/>
                <w:szCs w:val="22"/>
              </w:rPr>
              <w:t>[</w:t>
            </w:r>
            <w:r w:rsidR="00C2763F" w:rsidRPr="00B82AEE">
              <w:rPr>
                <w:rFonts w:ascii="Arial Narrow" w:hAnsi="Arial Narrow" w:cs="Arial"/>
                <w:b w:val="0"/>
                <w:sz w:val="22"/>
                <w:szCs w:val="22"/>
              </w:rPr>
              <w:t>3</w:t>
            </w:r>
            <w:r w:rsidR="00AD29B0" w:rsidRPr="00B82AEE">
              <w:rPr>
                <w:rFonts w:ascii="Arial Narrow" w:hAnsi="Arial Narrow" w:cs="Arial"/>
                <w:b w:val="0"/>
                <w:sz w:val="22"/>
                <w:szCs w:val="22"/>
              </w:rPr>
              <w:t xml:space="preserve">] </w:t>
            </w:r>
            <w:r w:rsidR="00105F1E" w:rsidRPr="00B82AEE">
              <w:rPr>
                <w:rFonts w:ascii="Arial Narrow" w:hAnsi="Arial Narrow" w:cs="Arial"/>
                <w:b w:val="0"/>
                <w:sz w:val="22"/>
                <w:szCs w:val="22"/>
              </w:rPr>
              <w:t xml:space="preserve">and </w:t>
            </w:r>
            <w:proofErr w:type="spellStart"/>
            <w:r w:rsidR="00105F1E" w:rsidRPr="00B82AEE">
              <w:rPr>
                <w:rFonts w:ascii="Arial Narrow" w:hAnsi="Arial Narrow" w:cs="Arial"/>
                <w:b w:val="0"/>
                <w:sz w:val="22"/>
                <w:szCs w:val="22"/>
              </w:rPr>
              <w:t>Ozonoff</w:t>
            </w:r>
            <w:proofErr w:type="spellEnd"/>
            <w:r w:rsidR="00105F1E" w:rsidRPr="00B82AEE">
              <w:rPr>
                <w:rFonts w:ascii="Arial Narrow" w:hAnsi="Arial Narrow" w:cs="Arial"/>
                <w:b w:val="0"/>
                <w:sz w:val="22"/>
                <w:szCs w:val="22"/>
              </w:rPr>
              <w:t xml:space="preserve"> et al</w:t>
            </w:r>
            <w:r w:rsidR="00AD29B0" w:rsidRPr="00B82AEE">
              <w:rPr>
                <w:rFonts w:ascii="Arial Narrow" w:hAnsi="Arial Narrow" w:cs="Arial"/>
                <w:b w:val="0"/>
                <w:sz w:val="22"/>
                <w:szCs w:val="22"/>
              </w:rPr>
              <w:t xml:space="preserve"> [</w:t>
            </w:r>
            <w:r w:rsidR="00137600" w:rsidRPr="00B82AEE">
              <w:rPr>
                <w:rFonts w:ascii="Arial Narrow" w:hAnsi="Arial Narrow" w:cs="Arial"/>
                <w:b w:val="0"/>
                <w:sz w:val="22"/>
                <w:szCs w:val="22"/>
              </w:rPr>
              <w:t>1</w:t>
            </w:r>
            <w:r w:rsidR="00E37D82">
              <w:rPr>
                <w:rFonts w:ascii="Arial Narrow" w:hAnsi="Arial Narrow" w:cs="Arial"/>
                <w:b w:val="0"/>
                <w:sz w:val="22"/>
                <w:szCs w:val="22"/>
              </w:rPr>
              <w:t>2</w:t>
            </w:r>
            <w:r w:rsidR="00AD29B0" w:rsidRPr="00B82AEE">
              <w:rPr>
                <w:rFonts w:ascii="Arial Narrow" w:hAnsi="Arial Narrow" w:cs="Arial"/>
                <w:b w:val="0"/>
                <w:sz w:val="22"/>
                <w:szCs w:val="22"/>
              </w:rPr>
              <w:t>]</w:t>
            </w:r>
            <w:r w:rsidR="00105F1E" w:rsidRPr="00B82AEE">
              <w:rPr>
                <w:rFonts w:ascii="Arial Narrow" w:hAnsi="Arial Narrow" w:cs="Arial"/>
                <w:b w:val="0"/>
                <w:sz w:val="22"/>
                <w:szCs w:val="22"/>
              </w:rPr>
              <w:t>.  The Mitchell study uses</w:t>
            </w:r>
            <w:r w:rsidRPr="00B82AEE">
              <w:rPr>
                <w:rFonts w:ascii="Arial Narrow" w:hAnsi="Arial Narrow" w:cs="Arial"/>
                <w:b w:val="0"/>
                <w:sz w:val="22"/>
                <w:szCs w:val="22"/>
              </w:rPr>
              <w:t xml:space="preserve"> </w:t>
            </w:r>
            <w:r w:rsidR="00105F1E" w:rsidRPr="00B82AEE">
              <w:rPr>
                <w:rFonts w:ascii="Arial Narrow" w:hAnsi="Arial Narrow" w:cs="Arial"/>
                <w:b w:val="0"/>
                <w:sz w:val="22"/>
                <w:szCs w:val="22"/>
              </w:rPr>
              <w:t xml:space="preserve">MSEL </w:t>
            </w:r>
            <w:r w:rsidRPr="00B82AEE">
              <w:rPr>
                <w:rFonts w:ascii="Arial Narrow" w:hAnsi="Arial Narrow" w:cs="Arial"/>
                <w:b w:val="0"/>
                <w:sz w:val="22"/>
                <w:szCs w:val="22"/>
              </w:rPr>
              <w:t xml:space="preserve">standard scores </w:t>
            </w:r>
            <w:r w:rsidR="00A14924" w:rsidRPr="00B82AEE">
              <w:rPr>
                <w:rFonts w:ascii="Arial Narrow" w:hAnsi="Arial Narrow" w:cs="Arial"/>
                <w:b w:val="0"/>
                <w:sz w:val="22"/>
                <w:szCs w:val="22"/>
              </w:rPr>
              <w:t xml:space="preserve">(available in 81 HR siblings and 46 LR siblings) </w:t>
            </w:r>
            <w:r w:rsidR="00105F1E" w:rsidRPr="00B82AEE">
              <w:rPr>
                <w:rFonts w:ascii="Arial Narrow" w:hAnsi="Arial Narrow" w:cs="Arial"/>
                <w:b w:val="0"/>
                <w:sz w:val="22"/>
                <w:szCs w:val="22"/>
              </w:rPr>
              <w:t xml:space="preserve">while the </w:t>
            </w:r>
            <w:proofErr w:type="spellStart"/>
            <w:r w:rsidR="00105F1E" w:rsidRPr="00B82AEE">
              <w:rPr>
                <w:rFonts w:ascii="Arial Narrow" w:hAnsi="Arial Narrow" w:cs="Arial"/>
                <w:b w:val="0"/>
                <w:sz w:val="22"/>
                <w:szCs w:val="22"/>
              </w:rPr>
              <w:t>Ozonoff</w:t>
            </w:r>
            <w:proofErr w:type="spellEnd"/>
            <w:r w:rsidR="00105F1E" w:rsidRPr="00B82AEE">
              <w:rPr>
                <w:rFonts w:ascii="Arial Narrow" w:hAnsi="Arial Narrow" w:cs="Arial"/>
                <w:b w:val="0"/>
                <w:sz w:val="22"/>
                <w:szCs w:val="22"/>
              </w:rPr>
              <w:t xml:space="preserve"> study uses estimates of raw MSEL scores controlled for age, sex,</w:t>
            </w:r>
            <w:r w:rsidR="00AD29B0" w:rsidRPr="00B82AEE">
              <w:rPr>
                <w:rFonts w:ascii="Arial Narrow" w:hAnsi="Arial Narrow" w:cs="Arial"/>
                <w:b w:val="0"/>
                <w:sz w:val="22"/>
                <w:szCs w:val="22"/>
              </w:rPr>
              <w:t xml:space="preserve"> study site, and funding phase</w:t>
            </w:r>
            <w:r w:rsidR="00105F1E" w:rsidRPr="00B82AEE">
              <w:rPr>
                <w:rFonts w:ascii="Arial Narrow" w:hAnsi="Arial Narrow" w:cs="Arial"/>
                <w:b w:val="0"/>
                <w:sz w:val="22"/>
                <w:szCs w:val="22"/>
              </w:rPr>
              <w:t xml:space="preserve"> from a</w:t>
            </w:r>
            <w:r w:rsidR="00803369" w:rsidRPr="00B82AEE">
              <w:rPr>
                <w:rFonts w:ascii="Arial Narrow" w:hAnsi="Arial Narrow" w:cs="Arial"/>
                <w:b w:val="0"/>
                <w:sz w:val="22"/>
                <w:szCs w:val="22"/>
              </w:rPr>
              <w:t xml:space="preserve"> mixed effects</w:t>
            </w:r>
            <w:r w:rsidR="00105F1E" w:rsidRPr="00B82AEE">
              <w:rPr>
                <w:rFonts w:ascii="Arial Narrow" w:hAnsi="Arial Narrow" w:cs="Arial"/>
                <w:b w:val="0"/>
                <w:sz w:val="22"/>
                <w:szCs w:val="22"/>
              </w:rPr>
              <w:t xml:space="preserve"> linear model.</w:t>
            </w:r>
            <w:r w:rsidRPr="00B82AEE">
              <w:rPr>
                <w:rFonts w:ascii="Arial Narrow" w:hAnsi="Arial Narrow" w:cs="Arial"/>
                <w:b w:val="0"/>
                <w:sz w:val="22"/>
                <w:szCs w:val="22"/>
              </w:rPr>
              <w:t xml:space="preserve"> </w:t>
            </w:r>
            <w:r w:rsidR="00A14924" w:rsidRPr="00B82AEE">
              <w:rPr>
                <w:rFonts w:ascii="Arial Narrow" w:hAnsi="Arial Narrow" w:cs="Arial"/>
                <w:b w:val="0"/>
                <w:sz w:val="22"/>
                <w:szCs w:val="22"/>
              </w:rPr>
              <w:t>Scores for</w:t>
            </w:r>
            <w:r w:rsidRPr="00B82AEE">
              <w:rPr>
                <w:rFonts w:ascii="Arial Narrow" w:hAnsi="Arial Narrow" w:cs="Arial"/>
                <w:b w:val="0"/>
                <w:sz w:val="22"/>
                <w:szCs w:val="22"/>
              </w:rPr>
              <w:t xml:space="preserve"> LR-</w:t>
            </w:r>
            <w:proofErr w:type="spellStart"/>
            <w:r w:rsidRPr="00B82AEE">
              <w:rPr>
                <w:rFonts w:ascii="Arial Narrow" w:hAnsi="Arial Narrow" w:cs="Arial"/>
                <w:b w:val="0"/>
                <w:sz w:val="22"/>
                <w:szCs w:val="22"/>
              </w:rPr>
              <w:t>noASD</w:t>
            </w:r>
            <w:proofErr w:type="spellEnd"/>
            <w:r w:rsidRPr="00B82AEE">
              <w:rPr>
                <w:rFonts w:ascii="Arial Narrow" w:hAnsi="Arial Narrow" w:cs="Arial"/>
                <w:b w:val="0"/>
                <w:sz w:val="22"/>
                <w:szCs w:val="22"/>
              </w:rPr>
              <w:t xml:space="preserve"> siblings </w:t>
            </w:r>
            <w:r w:rsidR="00A14924" w:rsidRPr="00B82AEE">
              <w:rPr>
                <w:rFonts w:ascii="Arial Narrow" w:hAnsi="Arial Narrow" w:cs="Arial"/>
                <w:b w:val="0"/>
                <w:sz w:val="22"/>
                <w:szCs w:val="22"/>
              </w:rPr>
              <w:t xml:space="preserve">are </w:t>
            </w:r>
            <w:r w:rsidRPr="00B82AEE">
              <w:rPr>
                <w:rFonts w:ascii="Arial Narrow" w:hAnsi="Arial Narrow" w:cs="Arial"/>
                <w:b w:val="0"/>
                <w:sz w:val="22"/>
                <w:szCs w:val="22"/>
              </w:rPr>
              <w:t>listed first and HR-</w:t>
            </w:r>
            <w:proofErr w:type="spellStart"/>
            <w:r w:rsidRPr="00B82AEE">
              <w:rPr>
                <w:rFonts w:ascii="Arial Narrow" w:hAnsi="Arial Narrow" w:cs="Arial"/>
                <w:b w:val="0"/>
                <w:sz w:val="22"/>
                <w:szCs w:val="22"/>
              </w:rPr>
              <w:t>noASD</w:t>
            </w:r>
            <w:proofErr w:type="spellEnd"/>
            <w:r w:rsidRPr="00B82AEE">
              <w:rPr>
                <w:rFonts w:ascii="Arial Narrow" w:hAnsi="Arial Narrow" w:cs="Arial"/>
                <w:b w:val="0"/>
                <w:sz w:val="22"/>
                <w:szCs w:val="22"/>
              </w:rPr>
              <w:t xml:space="preserve"> siblings </w:t>
            </w:r>
            <w:r w:rsidR="00A14924" w:rsidRPr="00B82AEE">
              <w:rPr>
                <w:rFonts w:ascii="Arial Narrow" w:hAnsi="Arial Narrow" w:cs="Arial"/>
                <w:b w:val="0"/>
                <w:sz w:val="22"/>
                <w:szCs w:val="22"/>
              </w:rPr>
              <w:t xml:space="preserve">are </w:t>
            </w:r>
            <w:r w:rsidRPr="00B82AEE">
              <w:rPr>
                <w:rFonts w:ascii="Arial Narrow" w:hAnsi="Arial Narrow" w:cs="Arial"/>
                <w:b w:val="0"/>
                <w:sz w:val="22"/>
                <w:szCs w:val="22"/>
              </w:rPr>
              <w:t xml:space="preserve">listed second. Bolded values are significant at </w:t>
            </w:r>
            <w:r w:rsidRPr="00B82AEE">
              <w:rPr>
                <w:rFonts w:ascii="Arial Narrow" w:hAnsi="Arial Narrow" w:cs="Arial"/>
                <w:b w:val="0"/>
                <w:i/>
                <w:sz w:val="22"/>
                <w:szCs w:val="22"/>
              </w:rPr>
              <w:t>p</w:t>
            </w:r>
            <w:r w:rsidRPr="00B82AEE">
              <w:rPr>
                <w:rFonts w:ascii="Arial Narrow" w:hAnsi="Arial Narrow" w:cs="Arial"/>
                <w:b w:val="0"/>
                <w:sz w:val="22"/>
                <w:szCs w:val="22"/>
              </w:rPr>
              <w:t>&lt;.05. mo.=months. HR=high-risk siblings without ASD. LR=low-risk siblings without ASD. ASD=Autism Spectrum Disorder. M-CDI=MacArthur Communicative Development Inventory. PLS=Preschool Language Scale. ADOS=Autism Diagnostic Observation Schedule. ADOS-G=Autism Diagnostic Observation Schedule-General. ADI-R=Autism Diagnostic Interview-Revised. DSM-IV-TR=Diagnostic and Statistical Manual of Psychiatric Disorders, 4</w:t>
            </w:r>
            <w:r w:rsidRPr="00B82AEE">
              <w:rPr>
                <w:rFonts w:ascii="Arial Narrow" w:hAnsi="Arial Narrow" w:cs="Arial"/>
                <w:b w:val="0"/>
                <w:sz w:val="22"/>
                <w:szCs w:val="22"/>
                <w:vertAlign w:val="superscript"/>
              </w:rPr>
              <w:t>th</w:t>
            </w:r>
            <w:r w:rsidRPr="00B82AEE">
              <w:rPr>
                <w:rFonts w:ascii="Arial Narrow" w:hAnsi="Arial Narrow" w:cs="Arial"/>
                <w:b w:val="0"/>
                <w:sz w:val="22"/>
                <w:szCs w:val="22"/>
              </w:rPr>
              <w:t xml:space="preserve"> edition, text revision.</w:t>
            </w:r>
          </w:p>
        </w:tc>
      </w:tr>
    </w:tbl>
    <w:p w14:paraId="3E21461E" w14:textId="50754EB4" w:rsidR="005A7CB5" w:rsidRPr="00B82AEE" w:rsidRDefault="005A7CB5" w:rsidP="00323B38">
      <w:pPr>
        <w:jc w:val="both"/>
        <w:rPr>
          <w:rFonts w:ascii="Arial" w:hAnsi="Arial" w:cs="Arial"/>
        </w:rPr>
      </w:pPr>
    </w:p>
    <w:p w14:paraId="3F591FA4" w14:textId="77777777" w:rsidR="005A7CB5" w:rsidRPr="00B82AEE" w:rsidRDefault="005A7CB5">
      <w:pPr>
        <w:spacing w:after="160" w:line="259" w:lineRule="auto"/>
        <w:rPr>
          <w:rFonts w:ascii="Arial" w:hAnsi="Arial" w:cs="Arial"/>
        </w:rPr>
      </w:pPr>
      <w:r w:rsidRPr="00B82AEE">
        <w:rPr>
          <w:rFonts w:ascii="Arial" w:hAnsi="Arial" w:cs="Arial"/>
        </w:rPr>
        <w:br w:type="page"/>
      </w:r>
    </w:p>
    <w:p w14:paraId="0AFABEC5" w14:textId="422E80E3" w:rsidR="00490C40" w:rsidRPr="00B82AEE" w:rsidRDefault="005A7CB5" w:rsidP="00042FF0">
      <w:pPr>
        <w:spacing w:after="0" w:line="480" w:lineRule="auto"/>
        <w:jc w:val="both"/>
        <w:rPr>
          <w:rFonts w:ascii="Arial" w:hAnsi="Arial" w:cs="Arial"/>
        </w:rPr>
      </w:pPr>
      <w:r w:rsidRPr="00B82AEE">
        <w:rPr>
          <w:rFonts w:ascii="Arial" w:hAnsi="Arial" w:cs="Arial"/>
          <w:b/>
        </w:rPr>
        <w:lastRenderedPageBreak/>
        <w:t xml:space="preserve">Table </w:t>
      </w:r>
      <w:r w:rsidR="00413119" w:rsidRPr="00B82AEE">
        <w:rPr>
          <w:rFonts w:ascii="Arial" w:hAnsi="Arial" w:cs="Arial"/>
          <w:b/>
        </w:rPr>
        <w:t>S</w:t>
      </w:r>
      <w:r w:rsidRPr="00B82AEE">
        <w:rPr>
          <w:rFonts w:ascii="Arial" w:hAnsi="Arial" w:cs="Arial"/>
          <w:b/>
        </w:rPr>
        <w:t>2.</w:t>
      </w:r>
      <w:r w:rsidRPr="00B82AEE">
        <w:rPr>
          <w:rFonts w:ascii="Arial" w:hAnsi="Arial" w:cs="Arial"/>
        </w:rPr>
        <w:t xml:space="preserve"> Group Moderation of Relationships between Social Performance and Language Using ADOS Calibrated Severity Social Affect Scores</w:t>
      </w:r>
    </w:p>
    <w:p w14:paraId="1330FD49" w14:textId="77777777" w:rsidR="005A7CB5" w:rsidRPr="00B82AEE" w:rsidRDefault="005A7CB5" w:rsidP="00042FF0">
      <w:pPr>
        <w:spacing w:after="0" w:line="480" w:lineRule="auto"/>
        <w:jc w:val="both"/>
        <w:rPr>
          <w:rFonts w:ascii="Arial" w:hAnsi="Arial" w:cs="Arial"/>
        </w:rPr>
      </w:pPr>
    </w:p>
    <w:tbl>
      <w:tblPr>
        <w:tblpPr w:leftFromText="180" w:rightFromText="180" w:vertAnchor="text" w:horzAnchor="margin" w:tblpY="-224"/>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08"/>
        <w:gridCol w:w="1308"/>
        <w:gridCol w:w="14"/>
        <w:gridCol w:w="1188"/>
        <w:gridCol w:w="14"/>
        <w:gridCol w:w="1245"/>
        <w:gridCol w:w="14"/>
        <w:gridCol w:w="735"/>
        <w:gridCol w:w="14"/>
        <w:gridCol w:w="775"/>
        <w:gridCol w:w="1037"/>
        <w:gridCol w:w="6"/>
        <w:gridCol w:w="1032"/>
      </w:tblGrid>
      <w:tr w:rsidR="004B2619" w:rsidRPr="00B82AEE" w14:paraId="24AEDBEA" w14:textId="77777777" w:rsidTr="004A7C92">
        <w:trPr>
          <w:cantSplit/>
        </w:trPr>
        <w:tc>
          <w:tcPr>
            <w:tcW w:w="2608" w:type="dxa"/>
            <w:vMerge w:val="restart"/>
            <w:tcBorders>
              <w:top w:val="single" w:sz="8" w:space="0" w:color="auto"/>
              <w:left w:val="single" w:sz="8" w:space="0" w:color="auto"/>
              <w:right w:val="nil"/>
            </w:tcBorders>
            <w:shd w:val="clear" w:color="auto" w:fill="FFFFFF"/>
            <w:vAlign w:val="center"/>
          </w:tcPr>
          <w:p w14:paraId="7962428E" w14:textId="77777777" w:rsidR="004B2619" w:rsidRPr="00B82AEE" w:rsidRDefault="004B2619" w:rsidP="004B2619">
            <w:pPr>
              <w:autoSpaceDE w:val="0"/>
              <w:autoSpaceDN w:val="0"/>
              <w:adjustRightInd w:val="0"/>
              <w:spacing w:after="0" w:line="320" w:lineRule="exact"/>
              <w:jc w:val="center"/>
              <w:rPr>
                <w:rFonts w:ascii="Arial Narrow" w:hAnsi="Arial Narrow" w:cs="Arial"/>
                <w:b/>
                <w:color w:val="000000"/>
              </w:rPr>
            </w:pPr>
            <w:r w:rsidRPr="00B82AEE">
              <w:rPr>
                <w:rFonts w:ascii="Arial Narrow" w:hAnsi="Arial Narrow"/>
                <w:b/>
                <w:color w:val="000000"/>
              </w:rPr>
              <w:t>Receptive Language</w:t>
            </w:r>
            <w:r w:rsidRPr="00B82AEE">
              <w:rPr>
                <w:rFonts w:ascii="Arial Narrow" w:hAnsi="Arial Narrow" w:cs="Arial"/>
                <w:b/>
                <w:color w:val="000000"/>
              </w:rPr>
              <w:t xml:space="preserve"> </w:t>
            </w:r>
          </w:p>
          <w:p w14:paraId="568E0B79" w14:textId="61F7C58B" w:rsidR="004B2619" w:rsidRPr="00B82AEE" w:rsidRDefault="004B2619" w:rsidP="004B2619">
            <w:pPr>
              <w:autoSpaceDE w:val="0"/>
              <w:autoSpaceDN w:val="0"/>
              <w:adjustRightInd w:val="0"/>
              <w:spacing w:after="0" w:line="320" w:lineRule="exact"/>
              <w:jc w:val="center"/>
              <w:rPr>
                <w:rFonts w:ascii="Arial Narrow" w:hAnsi="Arial Narrow" w:cs="Arial"/>
                <w:color w:val="000000"/>
              </w:rPr>
            </w:pPr>
            <w:r w:rsidRPr="00B82AEE">
              <w:rPr>
                <w:rFonts w:ascii="Arial Narrow" w:hAnsi="Arial Narrow" w:cs="Arial"/>
                <w:b/>
                <w:color w:val="000000"/>
              </w:rPr>
              <w:t>Model</w:t>
            </w:r>
          </w:p>
        </w:tc>
        <w:tc>
          <w:tcPr>
            <w:tcW w:w="2524" w:type="dxa"/>
            <w:gridSpan w:val="4"/>
            <w:tcBorders>
              <w:top w:val="single" w:sz="8" w:space="0" w:color="auto"/>
              <w:left w:val="nil"/>
              <w:bottom w:val="nil"/>
              <w:right w:val="nil"/>
            </w:tcBorders>
            <w:shd w:val="clear" w:color="auto" w:fill="FFFFFF"/>
            <w:vAlign w:val="center"/>
          </w:tcPr>
          <w:p w14:paraId="225B0DFB" w14:textId="77777777" w:rsidR="004B2619" w:rsidRPr="00B82AEE" w:rsidRDefault="004B2619" w:rsidP="00635070">
            <w:pPr>
              <w:autoSpaceDE w:val="0"/>
              <w:autoSpaceDN w:val="0"/>
              <w:adjustRightInd w:val="0"/>
              <w:spacing w:after="0" w:line="320" w:lineRule="atLeast"/>
              <w:ind w:left="60" w:right="60"/>
              <w:jc w:val="center"/>
              <w:rPr>
                <w:rFonts w:ascii="Arial Narrow" w:hAnsi="Arial Narrow" w:cs="Arial"/>
                <w:color w:val="000000"/>
              </w:rPr>
            </w:pPr>
            <w:r w:rsidRPr="00B82AEE">
              <w:rPr>
                <w:rFonts w:ascii="Arial Narrow" w:hAnsi="Arial Narrow" w:cs="Arial"/>
                <w:color w:val="000000"/>
              </w:rPr>
              <w:t>Unstandardized Coefficients</w:t>
            </w:r>
          </w:p>
        </w:tc>
        <w:tc>
          <w:tcPr>
            <w:tcW w:w="1259" w:type="dxa"/>
            <w:gridSpan w:val="2"/>
            <w:tcBorders>
              <w:top w:val="single" w:sz="8" w:space="0" w:color="auto"/>
              <w:left w:val="nil"/>
              <w:bottom w:val="single" w:sz="8" w:space="0" w:color="auto"/>
              <w:right w:val="nil"/>
            </w:tcBorders>
            <w:shd w:val="clear" w:color="auto" w:fill="FFFFFF"/>
            <w:vAlign w:val="center"/>
          </w:tcPr>
          <w:p w14:paraId="1A3414AD" w14:textId="77777777" w:rsidR="004B2619" w:rsidRPr="00B82AEE" w:rsidRDefault="004B2619" w:rsidP="00635070">
            <w:pPr>
              <w:autoSpaceDE w:val="0"/>
              <w:autoSpaceDN w:val="0"/>
              <w:adjustRightInd w:val="0"/>
              <w:spacing w:after="0" w:line="320" w:lineRule="atLeast"/>
              <w:ind w:left="60" w:right="60"/>
              <w:jc w:val="center"/>
              <w:rPr>
                <w:rFonts w:ascii="Arial Narrow" w:hAnsi="Arial Narrow" w:cs="Arial"/>
                <w:color w:val="000000"/>
              </w:rPr>
            </w:pPr>
            <w:r w:rsidRPr="00B82AEE">
              <w:rPr>
                <w:rFonts w:ascii="Arial Narrow" w:hAnsi="Arial Narrow" w:cs="Arial"/>
                <w:color w:val="000000"/>
              </w:rPr>
              <w:t>Standardized Coefficients</w:t>
            </w:r>
          </w:p>
        </w:tc>
        <w:tc>
          <w:tcPr>
            <w:tcW w:w="749" w:type="dxa"/>
            <w:gridSpan w:val="2"/>
            <w:vMerge w:val="restart"/>
            <w:tcBorders>
              <w:top w:val="single" w:sz="8" w:space="0" w:color="auto"/>
              <w:left w:val="nil"/>
              <w:right w:val="nil"/>
            </w:tcBorders>
            <w:shd w:val="clear" w:color="auto" w:fill="FFFFFF"/>
            <w:vAlign w:val="center"/>
          </w:tcPr>
          <w:p w14:paraId="5B09F70E" w14:textId="77777777" w:rsidR="004B2619" w:rsidRPr="00B82AEE" w:rsidRDefault="004B2619" w:rsidP="00635070">
            <w:pPr>
              <w:autoSpaceDE w:val="0"/>
              <w:autoSpaceDN w:val="0"/>
              <w:adjustRightInd w:val="0"/>
              <w:spacing w:after="0" w:line="240" w:lineRule="auto"/>
              <w:jc w:val="center"/>
              <w:rPr>
                <w:rFonts w:ascii="Arial Narrow" w:hAnsi="Arial Narrow" w:cs="Arial"/>
                <w:color w:val="000000"/>
              </w:rPr>
            </w:pPr>
            <w:r w:rsidRPr="00B82AEE">
              <w:rPr>
                <w:rFonts w:ascii="Arial Narrow" w:hAnsi="Arial Narrow" w:cs="Arial"/>
                <w:color w:val="000000"/>
              </w:rPr>
              <w:t>T</w:t>
            </w:r>
          </w:p>
        </w:tc>
        <w:tc>
          <w:tcPr>
            <w:tcW w:w="775" w:type="dxa"/>
            <w:vMerge w:val="restart"/>
            <w:tcBorders>
              <w:top w:val="single" w:sz="8" w:space="0" w:color="auto"/>
              <w:left w:val="nil"/>
              <w:right w:val="nil"/>
            </w:tcBorders>
            <w:shd w:val="clear" w:color="auto" w:fill="FFFFFF"/>
            <w:vAlign w:val="center"/>
          </w:tcPr>
          <w:p w14:paraId="2857B57F" w14:textId="77777777" w:rsidR="004B2619" w:rsidRPr="00B82AEE" w:rsidRDefault="004B2619" w:rsidP="00635070">
            <w:pPr>
              <w:autoSpaceDE w:val="0"/>
              <w:autoSpaceDN w:val="0"/>
              <w:adjustRightInd w:val="0"/>
              <w:spacing w:after="0" w:line="240" w:lineRule="auto"/>
              <w:jc w:val="center"/>
              <w:rPr>
                <w:rFonts w:ascii="Arial Narrow" w:hAnsi="Arial Narrow" w:cs="Arial"/>
                <w:color w:val="000000"/>
              </w:rPr>
            </w:pPr>
            <w:r w:rsidRPr="00B82AEE">
              <w:rPr>
                <w:rFonts w:ascii="Arial Narrow" w:hAnsi="Arial Narrow" w:cs="Arial"/>
                <w:color w:val="000000"/>
              </w:rPr>
              <w:t>Sig.</w:t>
            </w:r>
          </w:p>
        </w:tc>
        <w:tc>
          <w:tcPr>
            <w:tcW w:w="2075" w:type="dxa"/>
            <w:gridSpan w:val="3"/>
            <w:tcBorders>
              <w:top w:val="single" w:sz="8" w:space="0" w:color="auto"/>
              <w:left w:val="nil"/>
              <w:bottom w:val="single" w:sz="8" w:space="0" w:color="auto"/>
              <w:right w:val="single" w:sz="8" w:space="0" w:color="auto"/>
            </w:tcBorders>
            <w:shd w:val="clear" w:color="auto" w:fill="FFFFFF"/>
            <w:vAlign w:val="center"/>
          </w:tcPr>
          <w:p w14:paraId="47DA81B5" w14:textId="77777777" w:rsidR="004B2619" w:rsidRPr="00B82AEE" w:rsidRDefault="004B2619" w:rsidP="00635070">
            <w:pPr>
              <w:autoSpaceDE w:val="0"/>
              <w:autoSpaceDN w:val="0"/>
              <w:adjustRightInd w:val="0"/>
              <w:spacing w:after="0" w:line="320" w:lineRule="atLeast"/>
              <w:ind w:left="60" w:right="60"/>
              <w:jc w:val="center"/>
              <w:rPr>
                <w:rFonts w:ascii="Arial Narrow" w:hAnsi="Arial Narrow"/>
                <w:color w:val="000000"/>
              </w:rPr>
            </w:pPr>
            <w:r w:rsidRPr="00B82AEE">
              <w:rPr>
                <w:rFonts w:ascii="Arial Narrow" w:hAnsi="Arial Narrow" w:cs="Arial"/>
                <w:color w:val="000000"/>
              </w:rPr>
              <w:t>95.0% Confidence Interval for B</w:t>
            </w:r>
          </w:p>
        </w:tc>
      </w:tr>
      <w:tr w:rsidR="004B2619" w:rsidRPr="00B82AEE" w14:paraId="5B6512A6" w14:textId="77777777" w:rsidTr="004A7C92">
        <w:trPr>
          <w:cantSplit/>
        </w:trPr>
        <w:tc>
          <w:tcPr>
            <w:tcW w:w="2608" w:type="dxa"/>
            <w:vMerge/>
            <w:tcBorders>
              <w:left w:val="single" w:sz="8" w:space="0" w:color="auto"/>
              <w:bottom w:val="single" w:sz="8" w:space="0" w:color="auto"/>
              <w:right w:val="nil"/>
            </w:tcBorders>
            <w:shd w:val="clear" w:color="auto" w:fill="FFFFFF"/>
            <w:vAlign w:val="center"/>
          </w:tcPr>
          <w:p w14:paraId="63376DB5" w14:textId="77777777" w:rsidR="004B2619" w:rsidRPr="00B82AEE" w:rsidRDefault="004B2619" w:rsidP="00635070">
            <w:pPr>
              <w:autoSpaceDE w:val="0"/>
              <w:autoSpaceDN w:val="0"/>
              <w:adjustRightInd w:val="0"/>
              <w:spacing w:after="0" w:line="240" w:lineRule="auto"/>
              <w:jc w:val="both"/>
              <w:rPr>
                <w:rFonts w:ascii="Arial Narrow" w:hAnsi="Arial Narrow" w:cs="Arial"/>
                <w:color w:val="000000"/>
              </w:rPr>
            </w:pPr>
          </w:p>
        </w:tc>
        <w:tc>
          <w:tcPr>
            <w:tcW w:w="1322" w:type="dxa"/>
            <w:gridSpan w:val="2"/>
            <w:tcBorders>
              <w:top w:val="single" w:sz="8" w:space="0" w:color="auto"/>
              <w:left w:val="nil"/>
              <w:bottom w:val="single" w:sz="8" w:space="0" w:color="auto"/>
              <w:right w:val="nil"/>
            </w:tcBorders>
            <w:shd w:val="clear" w:color="auto" w:fill="FFFFFF"/>
            <w:vAlign w:val="center"/>
          </w:tcPr>
          <w:p w14:paraId="6078A074" w14:textId="77777777" w:rsidR="004B2619" w:rsidRPr="00B82AEE" w:rsidRDefault="004B2619" w:rsidP="0063507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cs="Arial"/>
                <w:color w:val="000000"/>
              </w:rPr>
              <w:t>B</w:t>
            </w:r>
          </w:p>
        </w:tc>
        <w:tc>
          <w:tcPr>
            <w:tcW w:w="1202" w:type="dxa"/>
            <w:gridSpan w:val="2"/>
            <w:tcBorders>
              <w:top w:val="single" w:sz="8" w:space="0" w:color="auto"/>
              <w:left w:val="nil"/>
              <w:bottom w:val="single" w:sz="8" w:space="0" w:color="auto"/>
              <w:right w:val="nil"/>
            </w:tcBorders>
            <w:shd w:val="clear" w:color="auto" w:fill="FFFFFF"/>
            <w:vAlign w:val="center"/>
          </w:tcPr>
          <w:p w14:paraId="0EB06AF8" w14:textId="77777777" w:rsidR="004B2619" w:rsidRPr="00B82AEE" w:rsidRDefault="004B2619" w:rsidP="0063507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cs="Arial"/>
                <w:color w:val="000000"/>
              </w:rPr>
              <w:t>Std. Error</w:t>
            </w:r>
          </w:p>
        </w:tc>
        <w:tc>
          <w:tcPr>
            <w:tcW w:w="1259" w:type="dxa"/>
            <w:gridSpan w:val="2"/>
            <w:tcBorders>
              <w:top w:val="single" w:sz="8" w:space="0" w:color="auto"/>
              <w:left w:val="nil"/>
              <w:bottom w:val="single" w:sz="8" w:space="0" w:color="auto"/>
              <w:right w:val="nil"/>
            </w:tcBorders>
            <w:shd w:val="clear" w:color="auto" w:fill="FFFFFF"/>
            <w:vAlign w:val="center"/>
          </w:tcPr>
          <w:p w14:paraId="210463FE" w14:textId="77777777" w:rsidR="004B2619" w:rsidRPr="00B82AEE" w:rsidRDefault="004B2619" w:rsidP="0063507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cs="Arial"/>
                <w:color w:val="000000"/>
              </w:rPr>
              <w:t>Beta</w:t>
            </w:r>
          </w:p>
        </w:tc>
        <w:tc>
          <w:tcPr>
            <w:tcW w:w="749" w:type="dxa"/>
            <w:gridSpan w:val="2"/>
            <w:vMerge/>
            <w:tcBorders>
              <w:left w:val="nil"/>
              <w:bottom w:val="single" w:sz="8" w:space="0" w:color="auto"/>
              <w:right w:val="nil"/>
            </w:tcBorders>
            <w:shd w:val="clear" w:color="auto" w:fill="FFFFFF"/>
            <w:vAlign w:val="center"/>
          </w:tcPr>
          <w:p w14:paraId="407CCE15" w14:textId="77777777" w:rsidR="004B2619" w:rsidRPr="00B82AEE" w:rsidRDefault="004B2619" w:rsidP="00635070">
            <w:pPr>
              <w:autoSpaceDE w:val="0"/>
              <w:autoSpaceDN w:val="0"/>
              <w:adjustRightInd w:val="0"/>
              <w:spacing w:after="0" w:line="240" w:lineRule="auto"/>
              <w:jc w:val="both"/>
              <w:rPr>
                <w:rFonts w:ascii="Arial Narrow" w:hAnsi="Arial Narrow" w:cs="Arial"/>
                <w:color w:val="000000"/>
              </w:rPr>
            </w:pPr>
          </w:p>
        </w:tc>
        <w:tc>
          <w:tcPr>
            <w:tcW w:w="775" w:type="dxa"/>
            <w:vMerge/>
            <w:tcBorders>
              <w:left w:val="nil"/>
              <w:bottom w:val="single" w:sz="8" w:space="0" w:color="auto"/>
              <w:right w:val="nil"/>
            </w:tcBorders>
            <w:shd w:val="clear" w:color="auto" w:fill="FFFFFF"/>
            <w:vAlign w:val="center"/>
          </w:tcPr>
          <w:p w14:paraId="0EFAC80F" w14:textId="77777777" w:rsidR="004B2619" w:rsidRPr="00B82AEE" w:rsidRDefault="004B2619" w:rsidP="00635070">
            <w:pPr>
              <w:autoSpaceDE w:val="0"/>
              <w:autoSpaceDN w:val="0"/>
              <w:adjustRightInd w:val="0"/>
              <w:spacing w:after="0" w:line="240" w:lineRule="auto"/>
              <w:jc w:val="both"/>
              <w:rPr>
                <w:rFonts w:ascii="Arial Narrow" w:hAnsi="Arial Narrow" w:cs="Arial"/>
                <w:color w:val="000000"/>
              </w:rPr>
            </w:pPr>
          </w:p>
        </w:tc>
        <w:tc>
          <w:tcPr>
            <w:tcW w:w="1037" w:type="dxa"/>
            <w:tcBorders>
              <w:top w:val="single" w:sz="8" w:space="0" w:color="auto"/>
              <w:left w:val="nil"/>
              <w:bottom w:val="single" w:sz="8" w:space="0" w:color="auto"/>
              <w:right w:val="nil"/>
            </w:tcBorders>
            <w:shd w:val="clear" w:color="auto" w:fill="FFFFFF"/>
            <w:vAlign w:val="center"/>
          </w:tcPr>
          <w:p w14:paraId="45D9A56A" w14:textId="77777777" w:rsidR="004B2619" w:rsidRPr="00B82AEE" w:rsidRDefault="004B2619" w:rsidP="0063507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cs="Arial"/>
                <w:color w:val="000000"/>
              </w:rPr>
              <w:t>Lower</w:t>
            </w:r>
          </w:p>
        </w:tc>
        <w:tc>
          <w:tcPr>
            <w:tcW w:w="1038" w:type="dxa"/>
            <w:gridSpan w:val="2"/>
            <w:tcBorders>
              <w:top w:val="single" w:sz="8" w:space="0" w:color="auto"/>
              <w:left w:val="nil"/>
              <w:bottom w:val="single" w:sz="8" w:space="0" w:color="auto"/>
              <w:right w:val="single" w:sz="8" w:space="0" w:color="auto"/>
            </w:tcBorders>
            <w:shd w:val="clear" w:color="auto" w:fill="FFFFFF"/>
            <w:vAlign w:val="center"/>
          </w:tcPr>
          <w:p w14:paraId="49ABB5AA" w14:textId="77777777" w:rsidR="004B2619" w:rsidRPr="00B82AEE" w:rsidRDefault="004B2619" w:rsidP="0063507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cs="Arial"/>
                <w:color w:val="000000"/>
              </w:rPr>
              <w:t>Upper</w:t>
            </w:r>
          </w:p>
        </w:tc>
      </w:tr>
      <w:tr w:rsidR="009C52E0" w:rsidRPr="00B82AEE" w14:paraId="14B47706" w14:textId="77777777" w:rsidTr="004B2619">
        <w:trPr>
          <w:cantSplit/>
        </w:trPr>
        <w:tc>
          <w:tcPr>
            <w:tcW w:w="2608" w:type="dxa"/>
            <w:tcBorders>
              <w:top w:val="single" w:sz="8" w:space="0" w:color="auto"/>
              <w:left w:val="single" w:sz="8" w:space="0" w:color="auto"/>
              <w:bottom w:val="nil"/>
              <w:right w:val="nil"/>
            </w:tcBorders>
            <w:shd w:val="clear" w:color="auto" w:fill="FFFFFF"/>
            <w:vAlign w:val="center"/>
          </w:tcPr>
          <w:p w14:paraId="4F89469E" w14:textId="77777777"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cs="Arial"/>
                <w:color w:val="000000"/>
              </w:rPr>
              <w:t>(Constant)</w:t>
            </w:r>
          </w:p>
        </w:tc>
        <w:tc>
          <w:tcPr>
            <w:tcW w:w="1322" w:type="dxa"/>
            <w:gridSpan w:val="2"/>
            <w:tcBorders>
              <w:top w:val="single" w:sz="8" w:space="0" w:color="auto"/>
              <w:left w:val="nil"/>
              <w:bottom w:val="nil"/>
              <w:right w:val="nil"/>
            </w:tcBorders>
            <w:shd w:val="clear" w:color="auto" w:fill="FFFFFF"/>
          </w:tcPr>
          <w:p w14:paraId="6066ECD8" w14:textId="0FD14556"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54.9</w:t>
            </w:r>
            <w:r w:rsidR="00377068" w:rsidRPr="00B82AEE">
              <w:rPr>
                <w:rFonts w:ascii="Arial Narrow" w:hAnsi="Arial Narrow"/>
              </w:rPr>
              <w:t>1</w:t>
            </w:r>
          </w:p>
        </w:tc>
        <w:tc>
          <w:tcPr>
            <w:tcW w:w="1202" w:type="dxa"/>
            <w:gridSpan w:val="2"/>
            <w:tcBorders>
              <w:top w:val="single" w:sz="8" w:space="0" w:color="auto"/>
              <w:left w:val="nil"/>
              <w:bottom w:val="nil"/>
              <w:right w:val="nil"/>
            </w:tcBorders>
            <w:shd w:val="clear" w:color="auto" w:fill="FFFFFF"/>
          </w:tcPr>
          <w:p w14:paraId="67990550" w14:textId="1DA8316F"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3.1</w:t>
            </w:r>
            <w:r w:rsidR="00377068" w:rsidRPr="00B82AEE">
              <w:rPr>
                <w:rFonts w:ascii="Arial Narrow" w:hAnsi="Arial Narrow"/>
              </w:rPr>
              <w:t>4</w:t>
            </w:r>
          </w:p>
        </w:tc>
        <w:tc>
          <w:tcPr>
            <w:tcW w:w="1259" w:type="dxa"/>
            <w:gridSpan w:val="2"/>
            <w:tcBorders>
              <w:top w:val="single" w:sz="8" w:space="0" w:color="auto"/>
              <w:left w:val="nil"/>
              <w:bottom w:val="nil"/>
              <w:right w:val="nil"/>
            </w:tcBorders>
            <w:shd w:val="clear" w:color="auto" w:fill="FFFFFF"/>
          </w:tcPr>
          <w:p w14:paraId="746DCF03" w14:textId="77777777" w:rsidR="009C52E0" w:rsidRPr="00B82AEE" w:rsidRDefault="009C52E0" w:rsidP="009C52E0">
            <w:pPr>
              <w:autoSpaceDE w:val="0"/>
              <w:autoSpaceDN w:val="0"/>
              <w:adjustRightInd w:val="0"/>
              <w:spacing w:after="0" w:line="240" w:lineRule="auto"/>
              <w:jc w:val="both"/>
              <w:rPr>
                <w:rFonts w:ascii="Arial Narrow" w:hAnsi="Arial Narrow"/>
              </w:rPr>
            </w:pPr>
          </w:p>
        </w:tc>
        <w:tc>
          <w:tcPr>
            <w:tcW w:w="749" w:type="dxa"/>
            <w:gridSpan w:val="2"/>
            <w:tcBorders>
              <w:top w:val="single" w:sz="8" w:space="0" w:color="auto"/>
              <w:left w:val="nil"/>
              <w:bottom w:val="nil"/>
              <w:right w:val="nil"/>
            </w:tcBorders>
            <w:shd w:val="clear" w:color="auto" w:fill="FFFFFF"/>
          </w:tcPr>
          <w:p w14:paraId="33AB9715" w14:textId="47A76A3D"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17.49</w:t>
            </w:r>
          </w:p>
        </w:tc>
        <w:tc>
          <w:tcPr>
            <w:tcW w:w="775" w:type="dxa"/>
            <w:tcBorders>
              <w:top w:val="single" w:sz="8" w:space="0" w:color="auto"/>
              <w:left w:val="nil"/>
              <w:bottom w:val="nil"/>
              <w:right w:val="nil"/>
            </w:tcBorders>
            <w:shd w:val="clear" w:color="auto" w:fill="FFFFFF"/>
          </w:tcPr>
          <w:p w14:paraId="58CFD72B" w14:textId="03AE196E"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&lt;.001</w:t>
            </w:r>
          </w:p>
        </w:tc>
        <w:tc>
          <w:tcPr>
            <w:tcW w:w="1037" w:type="dxa"/>
            <w:tcBorders>
              <w:top w:val="single" w:sz="8" w:space="0" w:color="auto"/>
              <w:left w:val="nil"/>
              <w:bottom w:val="nil"/>
              <w:right w:val="nil"/>
            </w:tcBorders>
            <w:shd w:val="clear" w:color="auto" w:fill="FFFFFF"/>
          </w:tcPr>
          <w:p w14:paraId="387E84F5" w14:textId="47E3B776"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48.73</w:t>
            </w:r>
          </w:p>
        </w:tc>
        <w:tc>
          <w:tcPr>
            <w:tcW w:w="1038" w:type="dxa"/>
            <w:gridSpan w:val="2"/>
            <w:tcBorders>
              <w:top w:val="single" w:sz="8" w:space="0" w:color="auto"/>
              <w:left w:val="nil"/>
              <w:bottom w:val="nil"/>
              <w:right w:val="single" w:sz="8" w:space="0" w:color="auto"/>
            </w:tcBorders>
            <w:shd w:val="clear" w:color="auto" w:fill="FFFFFF"/>
          </w:tcPr>
          <w:p w14:paraId="68BF79E7" w14:textId="4ACCE2C8"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61.083</w:t>
            </w:r>
          </w:p>
        </w:tc>
      </w:tr>
      <w:tr w:rsidR="009C52E0" w:rsidRPr="00B82AEE" w14:paraId="67CDE050" w14:textId="77777777" w:rsidTr="004B2619">
        <w:trPr>
          <w:cantSplit/>
        </w:trPr>
        <w:tc>
          <w:tcPr>
            <w:tcW w:w="2608" w:type="dxa"/>
            <w:tcBorders>
              <w:top w:val="nil"/>
              <w:left w:val="single" w:sz="8" w:space="0" w:color="auto"/>
              <w:bottom w:val="nil"/>
              <w:right w:val="nil"/>
            </w:tcBorders>
            <w:shd w:val="clear" w:color="auto" w:fill="FFFFFF"/>
            <w:vAlign w:val="center"/>
          </w:tcPr>
          <w:p w14:paraId="6A46EE6E" w14:textId="77777777" w:rsidR="009C52E0" w:rsidRPr="00B82AEE" w:rsidRDefault="009C52E0" w:rsidP="009C52E0">
            <w:pPr>
              <w:autoSpaceDE w:val="0"/>
              <w:autoSpaceDN w:val="0"/>
              <w:adjustRightInd w:val="0"/>
              <w:spacing w:after="0" w:line="320" w:lineRule="atLeast"/>
              <w:ind w:left="60" w:right="60"/>
              <w:jc w:val="both"/>
              <w:rPr>
                <w:rFonts w:ascii="Arial Narrow" w:hAnsi="Arial Narrow" w:cs="Arial"/>
                <w:b/>
                <w:color w:val="000000"/>
              </w:rPr>
            </w:pPr>
            <w:r w:rsidRPr="00B82AEE">
              <w:rPr>
                <w:rFonts w:ascii="Arial Narrow" w:hAnsi="Arial Narrow" w:cs="Arial"/>
                <w:b/>
                <w:color w:val="000000"/>
              </w:rPr>
              <w:t>Sex</w:t>
            </w:r>
          </w:p>
        </w:tc>
        <w:tc>
          <w:tcPr>
            <w:tcW w:w="1322" w:type="dxa"/>
            <w:gridSpan w:val="2"/>
            <w:tcBorders>
              <w:top w:val="nil"/>
              <w:left w:val="nil"/>
              <w:bottom w:val="nil"/>
              <w:right w:val="nil"/>
            </w:tcBorders>
            <w:shd w:val="clear" w:color="auto" w:fill="FFFFFF"/>
          </w:tcPr>
          <w:p w14:paraId="3E35D637" w14:textId="28A9F07B"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3.35</w:t>
            </w:r>
            <w:r w:rsidR="00377068" w:rsidRPr="00B82AEE">
              <w:rPr>
                <w:rFonts w:ascii="Arial Narrow" w:hAnsi="Arial Narrow"/>
              </w:rPr>
              <w:t>5</w:t>
            </w:r>
          </w:p>
        </w:tc>
        <w:tc>
          <w:tcPr>
            <w:tcW w:w="1202" w:type="dxa"/>
            <w:gridSpan w:val="2"/>
            <w:tcBorders>
              <w:top w:val="nil"/>
              <w:left w:val="nil"/>
              <w:bottom w:val="nil"/>
              <w:right w:val="nil"/>
            </w:tcBorders>
            <w:shd w:val="clear" w:color="auto" w:fill="FFFFFF"/>
          </w:tcPr>
          <w:p w14:paraId="3267D72B" w14:textId="72DEDB4B"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1.062</w:t>
            </w:r>
          </w:p>
        </w:tc>
        <w:tc>
          <w:tcPr>
            <w:tcW w:w="1259" w:type="dxa"/>
            <w:gridSpan w:val="2"/>
            <w:tcBorders>
              <w:top w:val="nil"/>
              <w:left w:val="nil"/>
              <w:bottom w:val="nil"/>
              <w:right w:val="nil"/>
            </w:tcBorders>
            <w:shd w:val="clear" w:color="auto" w:fill="FFFFFF"/>
          </w:tcPr>
          <w:p w14:paraId="54B668A2" w14:textId="587D2A37"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.16</w:t>
            </w:r>
          </w:p>
        </w:tc>
        <w:tc>
          <w:tcPr>
            <w:tcW w:w="749" w:type="dxa"/>
            <w:gridSpan w:val="2"/>
            <w:tcBorders>
              <w:top w:val="nil"/>
              <w:left w:val="nil"/>
              <w:bottom w:val="nil"/>
              <w:right w:val="nil"/>
            </w:tcBorders>
            <w:shd w:val="clear" w:color="auto" w:fill="FFFFFF"/>
          </w:tcPr>
          <w:p w14:paraId="74D8EAC9" w14:textId="608E217C"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3.1</w:t>
            </w:r>
            <w:r w:rsidR="00377068" w:rsidRPr="00B82AEE">
              <w:rPr>
                <w:rFonts w:ascii="Arial Narrow" w:hAnsi="Arial Narrow"/>
              </w:rPr>
              <w:t>6</w:t>
            </w:r>
          </w:p>
        </w:tc>
        <w:tc>
          <w:tcPr>
            <w:tcW w:w="775" w:type="dxa"/>
            <w:tcBorders>
              <w:top w:val="nil"/>
              <w:left w:val="nil"/>
              <w:bottom w:val="nil"/>
              <w:right w:val="nil"/>
            </w:tcBorders>
            <w:shd w:val="clear" w:color="auto" w:fill="FFFFFF"/>
          </w:tcPr>
          <w:p w14:paraId="40B41C5A" w14:textId="4DFA922E"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.002</w:t>
            </w:r>
          </w:p>
        </w:tc>
        <w:tc>
          <w:tcPr>
            <w:tcW w:w="1037" w:type="dxa"/>
            <w:tcBorders>
              <w:top w:val="nil"/>
              <w:left w:val="nil"/>
              <w:bottom w:val="nil"/>
              <w:right w:val="nil"/>
            </w:tcBorders>
            <w:shd w:val="clear" w:color="auto" w:fill="FFFFFF"/>
          </w:tcPr>
          <w:p w14:paraId="58B081EF" w14:textId="0601F240"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1.26</w:t>
            </w:r>
          </w:p>
        </w:tc>
        <w:tc>
          <w:tcPr>
            <w:tcW w:w="1038" w:type="dxa"/>
            <w:gridSpan w:val="2"/>
            <w:tcBorders>
              <w:top w:val="nil"/>
              <w:left w:val="nil"/>
              <w:bottom w:val="nil"/>
              <w:right w:val="single" w:sz="8" w:space="0" w:color="auto"/>
            </w:tcBorders>
            <w:shd w:val="clear" w:color="auto" w:fill="FFFFFF"/>
          </w:tcPr>
          <w:p w14:paraId="0675947B" w14:textId="59F5A22A"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5.44</w:t>
            </w:r>
          </w:p>
        </w:tc>
      </w:tr>
      <w:tr w:rsidR="009C52E0" w:rsidRPr="00B82AEE" w14:paraId="43212B81" w14:textId="77777777" w:rsidTr="004B2619">
        <w:trPr>
          <w:cantSplit/>
        </w:trPr>
        <w:tc>
          <w:tcPr>
            <w:tcW w:w="2608" w:type="dxa"/>
            <w:tcBorders>
              <w:top w:val="nil"/>
              <w:left w:val="single" w:sz="8" w:space="0" w:color="auto"/>
              <w:bottom w:val="nil"/>
              <w:right w:val="nil"/>
            </w:tcBorders>
            <w:shd w:val="clear" w:color="auto" w:fill="FFFFFF"/>
            <w:vAlign w:val="center"/>
          </w:tcPr>
          <w:p w14:paraId="60234EA7" w14:textId="77777777"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cs="Arial"/>
                <w:color w:val="000000"/>
              </w:rPr>
              <w:t>Maternal Education</w:t>
            </w:r>
          </w:p>
        </w:tc>
        <w:tc>
          <w:tcPr>
            <w:tcW w:w="1322" w:type="dxa"/>
            <w:gridSpan w:val="2"/>
            <w:tcBorders>
              <w:top w:val="nil"/>
              <w:left w:val="nil"/>
              <w:bottom w:val="nil"/>
              <w:right w:val="nil"/>
            </w:tcBorders>
            <w:shd w:val="clear" w:color="auto" w:fill="FFFFFF"/>
          </w:tcPr>
          <w:p w14:paraId="458D4498" w14:textId="6F0F2C79"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2.1</w:t>
            </w:r>
            <w:r w:rsidR="00377068" w:rsidRPr="00B82AEE">
              <w:rPr>
                <w:rFonts w:ascii="Arial Narrow" w:hAnsi="Arial Narrow"/>
              </w:rPr>
              <w:t>5</w:t>
            </w:r>
          </w:p>
        </w:tc>
        <w:tc>
          <w:tcPr>
            <w:tcW w:w="1202" w:type="dxa"/>
            <w:gridSpan w:val="2"/>
            <w:tcBorders>
              <w:top w:val="nil"/>
              <w:left w:val="nil"/>
              <w:bottom w:val="nil"/>
              <w:right w:val="nil"/>
            </w:tcBorders>
            <w:shd w:val="clear" w:color="auto" w:fill="FFFFFF"/>
          </w:tcPr>
          <w:p w14:paraId="578D5296" w14:textId="2A780895"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1.28</w:t>
            </w:r>
          </w:p>
        </w:tc>
        <w:tc>
          <w:tcPr>
            <w:tcW w:w="1259" w:type="dxa"/>
            <w:gridSpan w:val="2"/>
            <w:tcBorders>
              <w:top w:val="nil"/>
              <w:left w:val="nil"/>
              <w:bottom w:val="nil"/>
              <w:right w:val="nil"/>
            </w:tcBorders>
            <w:shd w:val="clear" w:color="auto" w:fill="FFFFFF"/>
          </w:tcPr>
          <w:p w14:paraId="63A61663" w14:textId="3FEA7808"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.094</w:t>
            </w:r>
          </w:p>
        </w:tc>
        <w:tc>
          <w:tcPr>
            <w:tcW w:w="749" w:type="dxa"/>
            <w:gridSpan w:val="2"/>
            <w:tcBorders>
              <w:top w:val="nil"/>
              <w:left w:val="nil"/>
              <w:bottom w:val="nil"/>
              <w:right w:val="nil"/>
            </w:tcBorders>
            <w:shd w:val="clear" w:color="auto" w:fill="FFFFFF"/>
          </w:tcPr>
          <w:p w14:paraId="75B5C242" w14:textId="78108EEA"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1.6</w:t>
            </w:r>
            <w:r w:rsidR="00377068" w:rsidRPr="00B82AEE">
              <w:rPr>
                <w:rFonts w:ascii="Arial Narrow" w:hAnsi="Arial Narrow"/>
              </w:rPr>
              <w:t>8</w:t>
            </w:r>
          </w:p>
        </w:tc>
        <w:tc>
          <w:tcPr>
            <w:tcW w:w="775" w:type="dxa"/>
            <w:tcBorders>
              <w:top w:val="nil"/>
              <w:left w:val="nil"/>
              <w:bottom w:val="nil"/>
              <w:right w:val="nil"/>
            </w:tcBorders>
            <w:shd w:val="clear" w:color="auto" w:fill="FFFFFF"/>
          </w:tcPr>
          <w:p w14:paraId="58EA4633" w14:textId="334EC497"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.095</w:t>
            </w:r>
          </w:p>
        </w:tc>
        <w:tc>
          <w:tcPr>
            <w:tcW w:w="1037" w:type="dxa"/>
            <w:tcBorders>
              <w:top w:val="nil"/>
              <w:left w:val="nil"/>
              <w:bottom w:val="nil"/>
              <w:right w:val="nil"/>
            </w:tcBorders>
            <w:shd w:val="clear" w:color="auto" w:fill="FFFFFF"/>
          </w:tcPr>
          <w:p w14:paraId="2E9405D8" w14:textId="10D6B6E5"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-.3</w:t>
            </w:r>
            <w:r w:rsidR="00533462" w:rsidRPr="00B82AEE">
              <w:rPr>
                <w:rFonts w:ascii="Arial Narrow" w:hAnsi="Arial Narrow"/>
              </w:rPr>
              <w:t>8</w:t>
            </w:r>
          </w:p>
        </w:tc>
        <w:tc>
          <w:tcPr>
            <w:tcW w:w="1038" w:type="dxa"/>
            <w:gridSpan w:val="2"/>
            <w:tcBorders>
              <w:top w:val="nil"/>
              <w:left w:val="nil"/>
              <w:bottom w:val="nil"/>
              <w:right w:val="single" w:sz="8" w:space="0" w:color="auto"/>
            </w:tcBorders>
            <w:shd w:val="clear" w:color="auto" w:fill="FFFFFF"/>
          </w:tcPr>
          <w:p w14:paraId="7FB0F7D9" w14:textId="3F5AFBF3"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4.67</w:t>
            </w:r>
          </w:p>
        </w:tc>
      </w:tr>
      <w:tr w:rsidR="009C52E0" w:rsidRPr="00B82AEE" w14:paraId="329EFC9B" w14:textId="77777777" w:rsidTr="004B2619">
        <w:trPr>
          <w:cantSplit/>
        </w:trPr>
        <w:tc>
          <w:tcPr>
            <w:tcW w:w="2608" w:type="dxa"/>
            <w:tcBorders>
              <w:top w:val="nil"/>
              <w:left w:val="single" w:sz="8" w:space="0" w:color="auto"/>
              <w:bottom w:val="nil"/>
              <w:right w:val="nil"/>
            </w:tcBorders>
            <w:shd w:val="clear" w:color="auto" w:fill="FFFFFF"/>
            <w:vAlign w:val="center"/>
          </w:tcPr>
          <w:p w14:paraId="6A8ECE73" w14:textId="77777777" w:rsidR="009C52E0" w:rsidRPr="00B82AEE" w:rsidRDefault="009C52E0" w:rsidP="009C52E0">
            <w:pPr>
              <w:autoSpaceDE w:val="0"/>
              <w:autoSpaceDN w:val="0"/>
              <w:adjustRightInd w:val="0"/>
              <w:spacing w:after="0" w:line="320" w:lineRule="atLeast"/>
              <w:ind w:left="60" w:right="60"/>
              <w:jc w:val="both"/>
              <w:rPr>
                <w:rFonts w:ascii="Arial Narrow" w:hAnsi="Arial Narrow" w:cs="Arial"/>
                <w:b/>
                <w:color w:val="000000"/>
              </w:rPr>
            </w:pPr>
            <w:r w:rsidRPr="00B82AEE">
              <w:rPr>
                <w:rFonts w:ascii="Arial Narrow" w:hAnsi="Arial Narrow" w:cs="Arial"/>
                <w:b/>
                <w:color w:val="000000"/>
              </w:rPr>
              <w:t>Income</w:t>
            </w:r>
          </w:p>
        </w:tc>
        <w:tc>
          <w:tcPr>
            <w:tcW w:w="1322" w:type="dxa"/>
            <w:gridSpan w:val="2"/>
            <w:tcBorders>
              <w:top w:val="nil"/>
              <w:left w:val="nil"/>
              <w:bottom w:val="nil"/>
              <w:right w:val="nil"/>
            </w:tcBorders>
            <w:shd w:val="clear" w:color="auto" w:fill="FFFFFF"/>
          </w:tcPr>
          <w:p w14:paraId="039302C6" w14:textId="54FECC06"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3.5</w:t>
            </w:r>
            <w:r w:rsidR="00377068" w:rsidRPr="00B82AEE">
              <w:rPr>
                <w:rFonts w:ascii="Arial Narrow" w:hAnsi="Arial Narrow"/>
              </w:rPr>
              <w:t>4</w:t>
            </w:r>
          </w:p>
        </w:tc>
        <w:tc>
          <w:tcPr>
            <w:tcW w:w="1202" w:type="dxa"/>
            <w:gridSpan w:val="2"/>
            <w:tcBorders>
              <w:top w:val="nil"/>
              <w:left w:val="nil"/>
              <w:bottom w:val="nil"/>
              <w:right w:val="nil"/>
            </w:tcBorders>
            <w:shd w:val="clear" w:color="auto" w:fill="FFFFFF"/>
          </w:tcPr>
          <w:p w14:paraId="39DE161C" w14:textId="498C67D4"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1.14</w:t>
            </w:r>
          </w:p>
        </w:tc>
        <w:tc>
          <w:tcPr>
            <w:tcW w:w="1259" w:type="dxa"/>
            <w:gridSpan w:val="2"/>
            <w:tcBorders>
              <w:top w:val="nil"/>
              <w:left w:val="nil"/>
              <w:bottom w:val="nil"/>
              <w:right w:val="nil"/>
            </w:tcBorders>
            <w:shd w:val="clear" w:color="auto" w:fill="FFFFFF"/>
          </w:tcPr>
          <w:p w14:paraId="18030225" w14:textId="54C97757"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.17</w:t>
            </w:r>
          </w:p>
        </w:tc>
        <w:tc>
          <w:tcPr>
            <w:tcW w:w="749" w:type="dxa"/>
            <w:gridSpan w:val="2"/>
            <w:tcBorders>
              <w:top w:val="nil"/>
              <w:left w:val="nil"/>
              <w:bottom w:val="nil"/>
              <w:right w:val="nil"/>
            </w:tcBorders>
            <w:shd w:val="clear" w:color="auto" w:fill="FFFFFF"/>
          </w:tcPr>
          <w:p w14:paraId="46761457" w14:textId="057CEF0C"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3.098</w:t>
            </w:r>
          </w:p>
        </w:tc>
        <w:tc>
          <w:tcPr>
            <w:tcW w:w="775" w:type="dxa"/>
            <w:tcBorders>
              <w:top w:val="nil"/>
              <w:left w:val="nil"/>
              <w:bottom w:val="nil"/>
              <w:right w:val="nil"/>
            </w:tcBorders>
            <w:shd w:val="clear" w:color="auto" w:fill="FFFFFF"/>
          </w:tcPr>
          <w:p w14:paraId="3AF731B6" w14:textId="743A1D60"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.002</w:t>
            </w:r>
          </w:p>
        </w:tc>
        <w:tc>
          <w:tcPr>
            <w:tcW w:w="1037" w:type="dxa"/>
            <w:tcBorders>
              <w:top w:val="nil"/>
              <w:left w:val="nil"/>
              <w:bottom w:val="nil"/>
              <w:right w:val="nil"/>
            </w:tcBorders>
            <w:shd w:val="clear" w:color="auto" w:fill="FFFFFF"/>
          </w:tcPr>
          <w:p w14:paraId="383AE05E" w14:textId="18332392"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1.29</w:t>
            </w:r>
          </w:p>
        </w:tc>
        <w:tc>
          <w:tcPr>
            <w:tcW w:w="1038" w:type="dxa"/>
            <w:gridSpan w:val="2"/>
            <w:tcBorders>
              <w:top w:val="nil"/>
              <w:left w:val="nil"/>
              <w:bottom w:val="nil"/>
              <w:right w:val="single" w:sz="8" w:space="0" w:color="auto"/>
            </w:tcBorders>
            <w:shd w:val="clear" w:color="auto" w:fill="FFFFFF"/>
          </w:tcPr>
          <w:p w14:paraId="45BE5A67" w14:textId="0D559693"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5.7</w:t>
            </w:r>
            <w:r w:rsidR="00533462" w:rsidRPr="00B82AEE">
              <w:rPr>
                <w:rFonts w:ascii="Arial Narrow" w:hAnsi="Arial Narrow"/>
              </w:rPr>
              <w:t>9</w:t>
            </w:r>
          </w:p>
        </w:tc>
      </w:tr>
      <w:tr w:rsidR="009C52E0" w:rsidRPr="00B82AEE" w14:paraId="204A7C2E" w14:textId="77777777" w:rsidTr="004B2619">
        <w:trPr>
          <w:cantSplit/>
        </w:trPr>
        <w:tc>
          <w:tcPr>
            <w:tcW w:w="2608" w:type="dxa"/>
            <w:tcBorders>
              <w:top w:val="nil"/>
              <w:left w:val="single" w:sz="8" w:space="0" w:color="auto"/>
              <w:bottom w:val="nil"/>
              <w:right w:val="nil"/>
            </w:tcBorders>
            <w:shd w:val="clear" w:color="auto" w:fill="FFFFFF"/>
            <w:vAlign w:val="center"/>
          </w:tcPr>
          <w:p w14:paraId="6008CE71" w14:textId="29176488" w:rsidR="009C52E0" w:rsidRPr="00B82AEE" w:rsidRDefault="009C52E0" w:rsidP="009C52E0">
            <w:pPr>
              <w:autoSpaceDE w:val="0"/>
              <w:autoSpaceDN w:val="0"/>
              <w:adjustRightInd w:val="0"/>
              <w:spacing w:after="0" w:line="320" w:lineRule="atLeast"/>
              <w:ind w:right="60"/>
              <w:jc w:val="both"/>
              <w:rPr>
                <w:rFonts w:ascii="Arial Narrow" w:hAnsi="Arial Narrow" w:cs="Arial"/>
                <w:color w:val="000000"/>
              </w:rPr>
            </w:pPr>
            <w:r w:rsidRPr="00B82AEE">
              <w:rPr>
                <w:rFonts w:ascii="Arial Narrow" w:hAnsi="Arial Narrow" w:cs="Arial"/>
                <w:color w:val="000000"/>
              </w:rPr>
              <w:t xml:space="preserve"> Race</w:t>
            </w:r>
          </w:p>
        </w:tc>
        <w:tc>
          <w:tcPr>
            <w:tcW w:w="1322" w:type="dxa"/>
            <w:gridSpan w:val="2"/>
            <w:tcBorders>
              <w:top w:val="nil"/>
              <w:left w:val="nil"/>
              <w:bottom w:val="nil"/>
              <w:right w:val="nil"/>
            </w:tcBorders>
            <w:shd w:val="clear" w:color="auto" w:fill="FFFFFF"/>
          </w:tcPr>
          <w:p w14:paraId="4CE49E24" w14:textId="4DE5DD84" w:rsidR="009C52E0" w:rsidRPr="00B82AEE" w:rsidRDefault="009C52E0" w:rsidP="009C52E0">
            <w:pPr>
              <w:autoSpaceDE w:val="0"/>
              <w:autoSpaceDN w:val="0"/>
              <w:adjustRightInd w:val="0"/>
              <w:spacing w:after="0" w:line="320" w:lineRule="atLeast"/>
              <w:ind w:left="60" w:right="60"/>
              <w:jc w:val="both"/>
              <w:rPr>
                <w:rFonts w:ascii="Arial Narrow" w:hAnsi="Arial Narrow"/>
              </w:rPr>
            </w:pPr>
            <w:r w:rsidRPr="00B82AEE">
              <w:rPr>
                <w:rFonts w:ascii="Arial Narrow" w:hAnsi="Arial Narrow"/>
              </w:rPr>
              <w:t>-2.67</w:t>
            </w:r>
          </w:p>
        </w:tc>
        <w:tc>
          <w:tcPr>
            <w:tcW w:w="1202" w:type="dxa"/>
            <w:gridSpan w:val="2"/>
            <w:tcBorders>
              <w:top w:val="nil"/>
              <w:left w:val="nil"/>
              <w:bottom w:val="nil"/>
              <w:right w:val="nil"/>
            </w:tcBorders>
            <w:shd w:val="clear" w:color="auto" w:fill="FFFFFF"/>
          </w:tcPr>
          <w:p w14:paraId="7993A3CA" w14:textId="1315E204" w:rsidR="009C52E0" w:rsidRPr="00B82AEE" w:rsidRDefault="009C52E0" w:rsidP="009C52E0">
            <w:pPr>
              <w:autoSpaceDE w:val="0"/>
              <w:autoSpaceDN w:val="0"/>
              <w:adjustRightInd w:val="0"/>
              <w:spacing w:after="0" w:line="320" w:lineRule="atLeast"/>
              <w:ind w:left="60" w:right="60"/>
              <w:jc w:val="both"/>
              <w:rPr>
                <w:rFonts w:ascii="Arial Narrow" w:hAnsi="Arial Narrow"/>
              </w:rPr>
            </w:pPr>
            <w:r w:rsidRPr="00B82AEE">
              <w:rPr>
                <w:rFonts w:ascii="Arial Narrow" w:hAnsi="Arial Narrow"/>
              </w:rPr>
              <w:t>1.55</w:t>
            </w:r>
          </w:p>
        </w:tc>
        <w:tc>
          <w:tcPr>
            <w:tcW w:w="1259" w:type="dxa"/>
            <w:gridSpan w:val="2"/>
            <w:tcBorders>
              <w:top w:val="nil"/>
              <w:left w:val="nil"/>
              <w:bottom w:val="nil"/>
              <w:right w:val="nil"/>
            </w:tcBorders>
            <w:shd w:val="clear" w:color="auto" w:fill="FFFFFF"/>
          </w:tcPr>
          <w:p w14:paraId="2FFF7EFC" w14:textId="6C54C77A" w:rsidR="009C52E0" w:rsidRPr="00B82AEE" w:rsidRDefault="009C52E0" w:rsidP="009C52E0">
            <w:pPr>
              <w:autoSpaceDE w:val="0"/>
              <w:autoSpaceDN w:val="0"/>
              <w:adjustRightInd w:val="0"/>
              <w:spacing w:after="0" w:line="320" w:lineRule="atLeast"/>
              <w:ind w:left="60" w:right="60"/>
              <w:jc w:val="both"/>
              <w:rPr>
                <w:rFonts w:ascii="Arial Narrow" w:hAnsi="Arial Narrow"/>
              </w:rPr>
            </w:pPr>
            <w:r w:rsidRPr="00B82AEE">
              <w:rPr>
                <w:rFonts w:ascii="Arial Narrow" w:hAnsi="Arial Narrow"/>
              </w:rPr>
              <w:t>-.089</w:t>
            </w:r>
          </w:p>
        </w:tc>
        <w:tc>
          <w:tcPr>
            <w:tcW w:w="749" w:type="dxa"/>
            <w:gridSpan w:val="2"/>
            <w:tcBorders>
              <w:top w:val="nil"/>
              <w:left w:val="nil"/>
              <w:bottom w:val="nil"/>
              <w:right w:val="nil"/>
            </w:tcBorders>
            <w:shd w:val="clear" w:color="auto" w:fill="FFFFFF"/>
          </w:tcPr>
          <w:p w14:paraId="77B75419" w14:textId="79C11389" w:rsidR="009C52E0" w:rsidRPr="00B82AEE" w:rsidRDefault="009C52E0" w:rsidP="009C52E0">
            <w:pPr>
              <w:autoSpaceDE w:val="0"/>
              <w:autoSpaceDN w:val="0"/>
              <w:adjustRightInd w:val="0"/>
              <w:spacing w:after="0" w:line="320" w:lineRule="atLeast"/>
              <w:ind w:left="60" w:right="60"/>
              <w:jc w:val="both"/>
              <w:rPr>
                <w:rFonts w:ascii="Arial Narrow" w:hAnsi="Arial Narrow"/>
              </w:rPr>
            </w:pPr>
            <w:r w:rsidRPr="00B82AEE">
              <w:rPr>
                <w:rFonts w:ascii="Arial Narrow" w:hAnsi="Arial Narrow"/>
              </w:rPr>
              <w:t>-1.72</w:t>
            </w:r>
          </w:p>
        </w:tc>
        <w:tc>
          <w:tcPr>
            <w:tcW w:w="775" w:type="dxa"/>
            <w:tcBorders>
              <w:top w:val="nil"/>
              <w:left w:val="nil"/>
              <w:bottom w:val="nil"/>
              <w:right w:val="nil"/>
            </w:tcBorders>
            <w:shd w:val="clear" w:color="auto" w:fill="FFFFFF"/>
          </w:tcPr>
          <w:p w14:paraId="4F223905" w14:textId="3772DB65" w:rsidR="009C52E0" w:rsidRPr="00B82AEE" w:rsidRDefault="009C52E0" w:rsidP="009C52E0">
            <w:pPr>
              <w:autoSpaceDE w:val="0"/>
              <w:autoSpaceDN w:val="0"/>
              <w:adjustRightInd w:val="0"/>
              <w:spacing w:after="0" w:line="320" w:lineRule="atLeast"/>
              <w:ind w:left="60" w:right="60"/>
              <w:jc w:val="both"/>
              <w:rPr>
                <w:rFonts w:ascii="Arial Narrow" w:hAnsi="Arial Narrow"/>
              </w:rPr>
            </w:pPr>
            <w:r w:rsidRPr="00B82AEE">
              <w:rPr>
                <w:rFonts w:ascii="Arial Narrow" w:hAnsi="Arial Narrow"/>
              </w:rPr>
              <w:t>.086</w:t>
            </w:r>
          </w:p>
        </w:tc>
        <w:tc>
          <w:tcPr>
            <w:tcW w:w="1037" w:type="dxa"/>
            <w:tcBorders>
              <w:top w:val="nil"/>
              <w:left w:val="nil"/>
              <w:bottom w:val="nil"/>
              <w:right w:val="nil"/>
            </w:tcBorders>
            <w:shd w:val="clear" w:color="auto" w:fill="FFFFFF"/>
          </w:tcPr>
          <w:p w14:paraId="6EF24B0E" w14:textId="7CE84A3D" w:rsidR="009C52E0" w:rsidRPr="00B82AEE" w:rsidRDefault="009C52E0" w:rsidP="009C52E0">
            <w:pPr>
              <w:autoSpaceDE w:val="0"/>
              <w:autoSpaceDN w:val="0"/>
              <w:adjustRightInd w:val="0"/>
              <w:spacing w:after="0" w:line="320" w:lineRule="atLeast"/>
              <w:ind w:left="60" w:right="60"/>
              <w:jc w:val="both"/>
              <w:rPr>
                <w:rFonts w:ascii="Arial Narrow" w:hAnsi="Arial Narrow"/>
              </w:rPr>
            </w:pPr>
            <w:r w:rsidRPr="00B82AEE">
              <w:rPr>
                <w:rFonts w:ascii="Arial Narrow" w:hAnsi="Arial Narrow"/>
              </w:rPr>
              <w:t>-5.72</w:t>
            </w:r>
          </w:p>
        </w:tc>
        <w:tc>
          <w:tcPr>
            <w:tcW w:w="1038" w:type="dxa"/>
            <w:gridSpan w:val="2"/>
            <w:tcBorders>
              <w:top w:val="nil"/>
              <w:left w:val="nil"/>
              <w:bottom w:val="nil"/>
              <w:right w:val="single" w:sz="8" w:space="0" w:color="auto"/>
            </w:tcBorders>
            <w:shd w:val="clear" w:color="auto" w:fill="FFFFFF"/>
          </w:tcPr>
          <w:p w14:paraId="60365AE9" w14:textId="332D40D2" w:rsidR="009C52E0" w:rsidRPr="00B82AEE" w:rsidRDefault="009C52E0" w:rsidP="009C52E0">
            <w:pPr>
              <w:autoSpaceDE w:val="0"/>
              <w:autoSpaceDN w:val="0"/>
              <w:adjustRightInd w:val="0"/>
              <w:spacing w:after="0" w:line="320" w:lineRule="atLeast"/>
              <w:ind w:left="60" w:right="60"/>
              <w:jc w:val="both"/>
              <w:rPr>
                <w:rFonts w:ascii="Arial Narrow" w:hAnsi="Arial Narrow"/>
              </w:rPr>
            </w:pPr>
            <w:r w:rsidRPr="00B82AEE">
              <w:rPr>
                <w:rFonts w:ascii="Arial Narrow" w:hAnsi="Arial Narrow"/>
              </w:rPr>
              <w:t>.38</w:t>
            </w:r>
          </w:p>
        </w:tc>
      </w:tr>
      <w:tr w:rsidR="009C52E0" w:rsidRPr="00B82AEE" w14:paraId="5728D196" w14:textId="77777777" w:rsidTr="004B2619">
        <w:trPr>
          <w:cantSplit/>
        </w:trPr>
        <w:tc>
          <w:tcPr>
            <w:tcW w:w="2608" w:type="dxa"/>
            <w:tcBorders>
              <w:top w:val="nil"/>
              <w:left w:val="single" w:sz="8" w:space="0" w:color="auto"/>
              <w:bottom w:val="nil"/>
              <w:right w:val="nil"/>
            </w:tcBorders>
            <w:shd w:val="clear" w:color="auto" w:fill="FFFFFF"/>
            <w:vAlign w:val="center"/>
          </w:tcPr>
          <w:p w14:paraId="184DA253" w14:textId="4D4A86E2" w:rsidR="009C52E0" w:rsidRPr="00B82AEE" w:rsidRDefault="009C52E0" w:rsidP="009C52E0">
            <w:pPr>
              <w:autoSpaceDE w:val="0"/>
              <w:autoSpaceDN w:val="0"/>
              <w:adjustRightInd w:val="0"/>
              <w:spacing w:after="0" w:line="320" w:lineRule="atLeast"/>
              <w:ind w:right="60"/>
              <w:jc w:val="both"/>
              <w:rPr>
                <w:rFonts w:ascii="Arial Narrow" w:hAnsi="Arial Narrow" w:cs="Arial"/>
                <w:color w:val="000000"/>
              </w:rPr>
            </w:pPr>
            <w:r w:rsidRPr="00B82AEE">
              <w:rPr>
                <w:rFonts w:ascii="Arial Narrow" w:hAnsi="Arial Narrow" w:cs="Arial"/>
                <w:b/>
                <w:color w:val="000000"/>
              </w:rPr>
              <w:t xml:space="preserve"> ASD Risk Status</w:t>
            </w:r>
          </w:p>
        </w:tc>
        <w:tc>
          <w:tcPr>
            <w:tcW w:w="1322" w:type="dxa"/>
            <w:gridSpan w:val="2"/>
            <w:tcBorders>
              <w:top w:val="nil"/>
              <w:left w:val="nil"/>
              <w:bottom w:val="nil"/>
              <w:right w:val="nil"/>
            </w:tcBorders>
            <w:shd w:val="clear" w:color="auto" w:fill="FFFFFF"/>
          </w:tcPr>
          <w:p w14:paraId="7558FFB9" w14:textId="066FFAE8"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-7.67</w:t>
            </w:r>
          </w:p>
        </w:tc>
        <w:tc>
          <w:tcPr>
            <w:tcW w:w="1202" w:type="dxa"/>
            <w:gridSpan w:val="2"/>
            <w:tcBorders>
              <w:top w:val="nil"/>
              <w:left w:val="nil"/>
              <w:bottom w:val="nil"/>
              <w:right w:val="nil"/>
            </w:tcBorders>
            <w:shd w:val="clear" w:color="auto" w:fill="FFFFFF"/>
          </w:tcPr>
          <w:p w14:paraId="72575789" w14:textId="77DDCD32"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2.1</w:t>
            </w:r>
            <w:r w:rsidR="00377068" w:rsidRPr="00B82AEE">
              <w:rPr>
                <w:rFonts w:ascii="Arial Narrow" w:hAnsi="Arial Narrow"/>
              </w:rPr>
              <w:t>1</w:t>
            </w:r>
          </w:p>
        </w:tc>
        <w:tc>
          <w:tcPr>
            <w:tcW w:w="1259" w:type="dxa"/>
            <w:gridSpan w:val="2"/>
            <w:tcBorders>
              <w:top w:val="nil"/>
              <w:left w:val="nil"/>
              <w:bottom w:val="nil"/>
              <w:right w:val="nil"/>
            </w:tcBorders>
            <w:shd w:val="clear" w:color="auto" w:fill="FFFFFF"/>
          </w:tcPr>
          <w:p w14:paraId="1BC62260" w14:textId="4FF42C02"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-.36</w:t>
            </w:r>
          </w:p>
        </w:tc>
        <w:tc>
          <w:tcPr>
            <w:tcW w:w="749" w:type="dxa"/>
            <w:gridSpan w:val="2"/>
            <w:tcBorders>
              <w:top w:val="nil"/>
              <w:left w:val="nil"/>
              <w:bottom w:val="nil"/>
              <w:right w:val="nil"/>
            </w:tcBorders>
            <w:shd w:val="clear" w:color="auto" w:fill="FFFFFF"/>
          </w:tcPr>
          <w:p w14:paraId="1B217D3E" w14:textId="0CF3A301"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-3.65</w:t>
            </w:r>
          </w:p>
        </w:tc>
        <w:tc>
          <w:tcPr>
            <w:tcW w:w="775" w:type="dxa"/>
            <w:tcBorders>
              <w:top w:val="nil"/>
              <w:left w:val="nil"/>
              <w:bottom w:val="nil"/>
              <w:right w:val="nil"/>
            </w:tcBorders>
            <w:shd w:val="clear" w:color="auto" w:fill="FFFFFF"/>
          </w:tcPr>
          <w:p w14:paraId="6ECE681F" w14:textId="502940A7"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.000</w:t>
            </w:r>
          </w:p>
        </w:tc>
        <w:tc>
          <w:tcPr>
            <w:tcW w:w="1037" w:type="dxa"/>
            <w:tcBorders>
              <w:top w:val="nil"/>
              <w:left w:val="nil"/>
              <w:bottom w:val="nil"/>
              <w:right w:val="nil"/>
            </w:tcBorders>
            <w:shd w:val="clear" w:color="auto" w:fill="FFFFFF"/>
          </w:tcPr>
          <w:p w14:paraId="7F7D5ABA" w14:textId="7674FAD2"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-11.81</w:t>
            </w:r>
          </w:p>
        </w:tc>
        <w:tc>
          <w:tcPr>
            <w:tcW w:w="1038" w:type="dxa"/>
            <w:gridSpan w:val="2"/>
            <w:tcBorders>
              <w:top w:val="nil"/>
              <w:left w:val="nil"/>
              <w:bottom w:val="nil"/>
              <w:right w:val="single" w:sz="8" w:space="0" w:color="auto"/>
            </w:tcBorders>
            <w:shd w:val="clear" w:color="auto" w:fill="FFFFFF"/>
          </w:tcPr>
          <w:p w14:paraId="070EA050" w14:textId="277E4BC3"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-3.53</w:t>
            </w:r>
          </w:p>
        </w:tc>
      </w:tr>
      <w:tr w:rsidR="009C52E0" w:rsidRPr="00B82AEE" w14:paraId="0CF21E17" w14:textId="77777777" w:rsidTr="004B2619">
        <w:trPr>
          <w:cantSplit/>
        </w:trPr>
        <w:tc>
          <w:tcPr>
            <w:tcW w:w="2608" w:type="dxa"/>
            <w:tcBorders>
              <w:top w:val="nil"/>
              <w:left w:val="single" w:sz="8" w:space="0" w:color="auto"/>
              <w:bottom w:val="nil"/>
              <w:right w:val="nil"/>
            </w:tcBorders>
            <w:shd w:val="clear" w:color="auto" w:fill="FFFFFF"/>
            <w:vAlign w:val="center"/>
          </w:tcPr>
          <w:p w14:paraId="53FD4DFE" w14:textId="26EA411F"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cs="Arial"/>
                <w:b/>
                <w:color w:val="000000"/>
              </w:rPr>
              <w:t>Calibrated Social Affect</w:t>
            </w:r>
          </w:p>
        </w:tc>
        <w:tc>
          <w:tcPr>
            <w:tcW w:w="1322" w:type="dxa"/>
            <w:gridSpan w:val="2"/>
            <w:tcBorders>
              <w:top w:val="nil"/>
              <w:left w:val="nil"/>
              <w:bottom w:val="nil"/>
              <w:right w:val="nil"/>
            </w:tcBorders>
            <w:shd w:val="clear" w:color="auto" w:fill="FFFFFF"/>
          </w:tcPr>
          <w:p w14:paraId="37A5F5B2" w14:textId="10F9439E"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-2.18</w:t>
            </w:r>
          </w:p>
        </w:tc>
        <w:tc>
          <w:tcPr>
            <w:tcW w:w="1202" w:type="dxa"/>
            <w:gridSpan w:val="2"/>
            <w:tcBorders>
              <w:top w:val="nil"/>
              <w:left w:val="nil"/>
              <w:bottom w:val="nil"/>
              <w:right w:val="nil"/>
            </w:tcBorders>
            <w:shd w:val="clear" w:color="auto" w:fill="FFFFFF"/>
          </w:tcPr>
          <w:p w14:paraId="74CF8122" w14:textId="667C45BB"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.85</w:t>
            </w:r>
          </w:p>
        </w:tc>
        <w:tc>
          <w:tcPr>
            <w:tcW w:w="1259" w:type="dxa"/>
            <w:gridSpan w:val="2"/>
            <w:tcBorders>
              <w:top w:val="nil"/>
              <w:left w:val="nil"/>
              <w:bottom w:val="nil"/>
              <w:right w:val="nil"/>
            </w:tcBorders>
            <w:shd w:val="clear" w:color="auto" w:fill="FFFFFF"/>
          </w:tcPr>
          <w:p w14:paraId="5799DC87" w14:textId="62A59887"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-.2</w:t>
            </w:r>
            <w:r w:rsidR="00377068" w:rsidRPr="00B82AEE">
              <w:rPr>
                <w:rFonts w:ascii="Arial Narrow" w:hAnsi="Arial Narrow"/>
              </w:rPr>
              <w:t>5</w:t>
            </w:r>
          </w:p>
        </w:tc>
        <w:tc>
          <w:tcPr>
            <w:tcW w:w="749" w:type="dxa"/>
            <w:gridSpan w:val="2"/>
            <w:tcBorders>
              <w:top w:val="nil"/>
              <w:left w:val="nil"/>
              <w:bottom w:val="nil"/>
              <w:right w:val="nil"/>
            </w:tcBorders>
            <w:shd w:val="clear" w:color="auto" w:fill="FFFFFF"/>
          </w:tcPr>
          <w:p w14:paraId="44AE0587" w14:textId="40516099"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-2.57</w:t>
            </w:r>
          </w:p>
        </w:tc>
        <w:tc>
          <w:tcPr>
            <w:tcW w:w="775" w:type="dxa"/>
            <w:tcBorders>
              <w:top w:val="nil"/>
              <w:left w:val="nil"/>
              <w:bottom w:val="nil"/>
              <w:right w:val="nil"/>
            </w:tcBorders>
            <w:shd w:val="clear" w:color="auto" w:fill="FFFFFF"/>
          </w:tcPr>
          <w:p w14:paraId="6316E7C1" w14:textId="0C677320"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.011</w:t>
            </w:r>
          </w:p>
        </w:tc>
        <w:tc>
          <w:tcPr>
            <w:tcW w:w="1037" w:type="dxa"/>
            <w:tcBorders>
              <w:top w:val="nil"/>
              <w:left w:val="nil"/>
              <w:bottom w:val="nil"/>
              <w:right w:val="nil"/>
            </w:tcBorders>
            <w:shd w:val="clear" w:color="auto" w:fill="FFFFFF"/>
          </w:tcPr>
          <w:p w14:paraId="00C5BD8B" w14:textId="20770DF5"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-3.8</w:t>
            </w:r>
            <w:r w:rsidR="00533462" w:rsidRPr="00B82AEE">
              <w:rPr>
                <w:rFonts w:ascii="Arial Narrow" w:hAnsi="Arial Narrow"/>
              </w:rPr>
              <w:t>6</w:t>
            </w:r>
          </w:p>
        </w:tc>
        <w:tc>
          <w:tcPr>
            <w:tcW w:w="1038" w:type="dxa"/>
            <w:gridSpan w:val="2"/>
            <w:tcBorders>
              <w:top w:val="nil"/>
              <w:left w:val="nil"/>
              <w:bottom w:val="nil"/>
              <w:right w:val="single" w:sz="8" w:space="0" w:color="auto"/>
            </w:tcBorders>
            <w:shd w:val="clear" w:color="auto" w:fill="FFFFFF"/>
          </w:tcPr>
          <w:p w14:paraId="3D053C96" w14:textId="6A1C8EFB"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-.51</w:t>
            </w:r>
          </w:p>
        </w:tc>
      </w:tr>
      <w:tr w:rsidR="009C52E0" w:rsidRPr="00B82AEE" w14:paraId="33014730" w14:textId="77777777" w:rsidTr="004B2619">
        <w:trPr>
          <w:cantSplit/>
        </w:trPr>
        <w:tc>
          <w:tcPr>
            <w:tcW w:w="2608" w:type="dxa"/>
            <w:tcBorders>
              <w:top w:val="nil"/>
              <w:left w:val="single" w:sz="8" w:space="0" w:color="auto"/>
              <w:bottom w:val="single" w:sz="8" w:space="0" w:color="auto"/>
              <w:right w:val="nil"/>
            </w:tcBorders>
            <w:shd w:val="clear" w:color="auto" w:fill="FFFFFF"/>
            <w:vAlign w:val="center"/>
          </w:tcPr>
          <w:p w14:paraId="3F78FDE5" w14:textId="77777777"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cs="Arial"/>
                <w:color w:val="000000"/>
              </w:rPr>
              <w:t>Social Affect by Risk Status</w:t>
            </w:r>
          </w:p>
        </w:tc>
        <w:tc>
          <w:tcPr>
            <w:tcW w:w="1322" w:type="dxa"/>
            <w:gridSpan w:val="2"/>
            <w:tcBorders>
              <w:top w:val="nil"/>
              <w:left w:val="nil"/>
              <w:bottom w:val="single" w:sz="8" w:space="0" w:color="auto"/>
              <w:right w:val="nil"/>
            </w:tcBorders>
            <w:shd w:val="clear" w:color="auto" w:fill="FFFFFF"/>
          </w:tcPr>
          <w:p w14:paraId="1FB1141C" w14:textId="45A3B3C1"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1.75</w:t>
            </w:r>
          </w:p>
        </w:tc>
        <w:tc>
          <w:tcPr>
            <w:tcW w:w="1202" w:type="dxa"/>
            <w:gridSpan w:val="2"/>
            <w:tcBorders>
              <w:top w:val="nil"/>
              <w:left w:val="nil"/>
              <w:bottom w:val="single" w:sz="8" w:space="0" w:color="auto"/>
              <w:right w:val="nil"/>
            </w:tcBorders>
            <w:shd w:val="clear" w:color="auto" w:fill="FFFFFF"/>
          </w:tcPr>
          <w:p w14:paraId="675D2872" w14:textId="0F5F14D8"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1.006</w:t>
            </w:r>
          </w:p>
        </w:tc>
        <w:tc>
          <w:tcPr>
            <w:tcW w:w="1259" w:type="dxa"/>
            <w:gridSpan w:val="2"/>
            <w:tcBorders>
              <w:top w:val="nil"/>
              <w:left w:val="nil"/>
              <w:bottom w:val="single" w:sz="8" w:space="0" w:color="auto"/>
              <w:right w:val="nil"/>
            </w:tcBorders>
            <w:shd w:val="clear" w:color="auto" w:fill="FFFFFF"/>
          </w:tcPr>
          <w:p w14:paraId="7BE5990B" w14:textId="05D94D8F"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.22</w:t>
            </w:r>
          </w:p>
        </w:tc>
        <w:tc>
          <w:tcPr>
            <w:tcW w:w="749" w:type="dxa"/>
            <w:gridSpan w:val="2"/>
            <w:tcBorders>
              <w:top w:val="nil"/>
              <w:left w:val="nil"/>
              <w:bottom w:val="single" w:sz="8" w:space="0" w:color="auto"/>
              <w:right w:val="nil"/>
            </w:tcBorders>
            <w:shd w:val="clear" w:color="auto" w:fill="FFFFFF"/>
          </w:tcPr>
          <w:p w14:paraId="322D2FF6" w14:textId="079D8058"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1.74</w:t>
            </w:r>
          </w:p>
        </w:tc>
        <w:tc>
          <w:tcPr>
            <w:tcW w:w="775" w:type="dxa"/>
            <w:tcBorders>
              <w:top w:val="nil"/>
              <w:left w:val="nil"/>
              <w:bottom w:val="single" w:sz="8" w:space="0" w:color="auto"/>
              <w:right w:val="nil"/>
            </w:tcBorders>
            <w:shd w:val="clear" w:color="auto" w:fill="FFFFFF"/>
          </w:tcPr>
          <w:p w14:paraId="0A95B8AD" w14:textId="485A3518"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.083</w:t>
            </w:r>
          </w:p>
        </w:tc>
        <w:tc>
          <w:tcPr>
            <w:tcW w:w="1037" w:type="dxa"/>
            <w:tcBorders>
              <w:top w:val="nil"/>
              <w:left w:val="nil"/>
              <w:bottom w:val="single" w:sz="8" w:space="0" w:color="auto"/>
              <w:right w:val="nil"/>
            </w:tcBorders>
            <w:shd w:val="clear" w:color="auto" w:fill="FFFFFF"/>
          </w:tcPr>
          <w:p w14:paraId="2CDA8331" w14:textId="57A46CFA"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-.2</w:t>
            </w:r>
            <w:r w:rsidR="00533462" w:rsidRPr="00B82AEE">
              <w:rPr>
                <w:rFonts w:ascii="Arial Narrow" w:hAnsi="Arial Narrow"/>
              </w:rPr>
              <w:t>3</w:t>
            </w:r>
          </w:p>
        </w:tc>
        <w:tc>
          <w:tcPr>
            <w:tcW w:w="1038" w:type="dxa"/>
            <w:gridSpan w:val="2"/>
            <w:tcBorders>
              <w:top w:val="nil"/>
              <w:left w:val="nil"/>
              <w:bottom w:val="single" w:sz="8" w:space="0" w:color="auto"/>
              <w:right w:val="single" w:sz="8" w:space="0" w:color="auto"/>
            </w:tcBorders>
            <w:shd w:val="clear" w:color="auto" w:fill="FFFFFF"/>
          </w:tcPr>
          <w:p w14:paraId="55E7A712" w14:textId="64A61317"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3.73</w:t>
            </w:r>
          </w:p>
        </w:tc>
      </w:tr>
      <w:tr w:rsidR="00E106A1" w:rsidRPr="00B82AEE" w14:paraId="6213EBF6" w14:textId="77777777" w:rsidTr="004B2619">
        <w:trPr>
          <w:cantSplit/>
        </w:trPr>
        <w:tc>
          <w:tcPr>
            <w:tcW w:w="9990" w:type="dxa"/>
            <w:gridSpan w:val="13"/>
            <w:tcBorders>
              <w:top w:val="nil"/>
              <w:left w:val="single" w:sz="8" w:space="0" w:color="auto"/>
              <w:bottom w:val="nil"/>
              <w:right w:val="single" w:sz="8" w:space="0" w:color="auto"/>
            </w:tcBorders>
            <w:shd w:val="clear" w:color="auto" w:fill="auto"/>
            <w:vAlign w:val="bottom"/>
          </w:tcPr>
          <w:p w14:paraId="5314DA9F" w14:textId="77777777" w:rsidR="00E106A1" w:rsidRPr="00B82AEE" w:rsidRDefault="00E106A1" w:rsidP="00635070">
            <w:pPr>
              <w:autoSpaceDE w:val="0"/>
              <w:autoSpaceDN w:val="0"/>
              <w:adjustRightInd w:val="0"/>
              <w:spacing w:after="0" w:line="320" w:lineRule="atLeast"/>
              <w:ind w:left="60" w:right="60"/>
              <w:jc w:val="both"/>
              <w:rPr>
                <w:rFonts w:ascii="Arial Narrow" w:hAnsi="Arial Narrow" w:cs="Arial"/>
                <w:color w:val="000000"/>
              </w:rPr>
            </w:pPr>
          </w:p>
        </w:tc>
      </w:tr>
      <w:tr w:rsidR="004B2619" w:rsidRPr="00B82AEE" w14:paraId="513F3972" w14:textId="77777777" w:rsidTr="00472722">
        <w:trPr>
          <w:cantSplit/>
        </w:trPr>
        <w:tc>
          <w:tcPr>
            <w:tcW w:w="2608" w:type="dxa"/>
            <w:vMerge w:val="restart"/>
            <w:tcBorders>
              <w:top w:val="single" w:sz="8" w:space="0" w:color="auto"/>
              <w:left w:val="single" w:sz="8" w:space="0" w:color="auto"/>
              <w:right w:val="nil"/>
            </w:tcBorders>
            <w:shd w:val="clear" w:color="auto" w:fill="FFFFFF"/>
            <w:vAlign w:val="center"/>
          </w:tcPr>
          <w:p w14:paraId="40C232C4" w14:textId="77777777" w:rsidR="004B2619" w:rsidRPr="00B82AEE" w:rsidRDefault="004B2619" w:rsidP="00635070">
            <w:pPr>
              <w:autoSpaceDE w:val="0"/>
              <w:autoSpaceDN w:val="0"/>
              <w:adjustRightInd w:val="0"/>
              <w:spacing w:after="0" w:line="320" w:lineRule="atLeast"/>
              <w:ind w:right="60"/>
              <w:jc w:val="center"/>
              <w:rPr>
                <w:rFonts w:ascii="Arial Narrow" w:hAnsi="Arial Narrow"/>
                <w:b/>
                <w:color w:val="000000"/>
              </w:rPr>
            </w:pPr>
            <w:r w:rsidRPr="00B82AEE">
              <w:rPr>
                <w:rFonts w:ascii="Arial Narrow" w:hAnsi="Arial Narrow"/>
                <w:b/>
                <w:color w:val="000000"/>
              </w:rPr>
              <w:t xml:space="preserve">Expressive Language </w:t>
            </w:r>
          </w:p>
          <w:p w14:paraId="31503348" w14:textId="00A478FD" w:rsidR="004B2619" w:rsidRPr="00B82AEE" w:rsidRDefault="004B2619" w:rsidP="00635070">
            <w:pPr>
              <w:autoSpaceDE w:val="0"/>
              <w:autoSpaceDN w:val="0"/>
              <w:adjustRightInd w:val="0"/>
              <w:spacing w:after="0" w:line="320" w:lineRule="atLeast"/>
              <w:ind w:right="60"/>
              <w:jc w:val="center"/>
              <w:rPr>
                <w:rFonts w:ascii="Arial Narrow" w:hAnsi="Arial Narrow"/>
                <w:b/>
                <w:color w:val="000000"/>
              </w:rPr>
            </w:pPr>
            <w:r w:rsidRPr="00B82AEE">
              <w:rPr>
                <w:rFonts w:ascii="Arial Narrow" w:hAnsi="Arial Narrow"/>
                <w:b/>
                <w:color w:val="000000"/>
              </w:rPr>
              <w:t>Model</w:t>
            </w:r>
          </w:p>
        </w:tc>
        <w:tc>
          <w:tcPr>
            <w:tcW w:w="2510" w:type="dxa"/>
            <w:gridSpan w:val="3"/>
            <w:tcBorders>
              <w:top w:val="single" w:sz="8" w:space="0" w:color="auto"/>
              <w:left w:val="nil"/>
              <w:bottom w:val="single" w:sz="8" w:space="0" w:color="auto"/>
              <w:right w:val="nil"/>
            </w:tcBorders>
            <w:shd w:val="clear" w:color="auto" w:fill="FFFFFF"/>
            <w:vAlign w:val="center"/>
          </w:tcPr>
          <w:p w14:paraId="6CCC0EBF" w14:textId="77777777" w:rsidR="004B2619" w:rsidRPr="00B82AEE" w:rsidRDefault="004B2619" w:rsidP="00635070">
            <w:pPr>
              <w:autoSpaceDE w:val="0"/>
              <w:autoSpaceDN w:val="0"/>
              <w:adjustRightInd w:val="0"/>
              <w:spacing w:after="0" w:line="320" w:lineRule="atLeast"/>
              <w:ind w:left="60" w:right="60"/>
              <w:jc w:val="center"/>
              <w:rPr>
                <w:rFonts w:ascii="Arial Narrow" w:hAnsi="Arial Narrow" w:cs="Arial"/>
                <w:color w:val="000000"/>
              </w:rPr>
            </w:pPr>
            <w:r w:rsidRPr="00B82AEE">
              <w:rPr>
                <w:rFonts w:ascii="Arial Narrow" w:hAnsi="Arial Narrow" w:cs="Arial"/>
                <w:color w:val="000000"/>
              </w:rPr>
              <w:t>Unstandardized Coefficients</w:t>
            </w:r>
          </w:p>
        </w:tc>
        <w:tc>
          <w:tcPr>
            <w:tcW w:w="1259" w:type="dxa"/>
            <w:gridSpan w:val="2"/>
            <w:tcBorders>
              <w:top w:val="single" w:sz="8" w:space="0" w:color="auto"/>
              <w:left w:val="nil"/>
              <w:bottom w:val="single" w:sz="8" w:space="0" w:color="auto"/>
              <w:right w:val="nil"/>
            </w:tcBorders>
            <w:shd w:val="clear" w:color="auto" w:fill="FFFFFF"/>
            <w:vAlign w:val="center"/>
          </w:tcPr>
          <w:p w14:paraId="6B5E9B10" w14:textId="77777777" w:rsidR="004B2619" w:rsidRPr="00B82AEE" w:rsidRDefault="004B2619" w:rsidP="00635070">
            <w:pPr>
              <w:autoSpaceDE w:val="0"/>
              <w:autoSpaceDN w:val="0"/>
              <w:adjustRightInd w:val="0"/>
              <w:spacing w:after="0" w:line="320" w:lineRule="atLeast"/>
              <w:ind w:left="60" w:right="60"/>
              <w:jc w:val="center"/>
              <w:rPr>
                <w:rFonts w:ascii="Arial Narrow" w:hAnsi="Arial Narrow" w:cs="Arial"/>
                <w:color w:val="000000"/>
              </w:rPr>
            </w:pPr>
            <w:r w:rsidRPr="00B82AEE">
              <w:rPr>
                <w:rFonts w:ascii="Arial Narrow" w:hAnsi="Arial Narrow" w:cs="Arial"/>
                <w:color w:val="000000"/>
              </w:rPr>
              <w:t>Standardized Coefficients</w:t>
            </w:r>
          </w:p>
        </w:tc>
        <w:tc>
          <w:tcPr>
            <w:tcW w:w="749" w:type="dxa"/>
            <w:gridSpan w:val="2"/>
            <w:vMerge w:val="restart"/>
            <w:tcBorders>
              <w:top w:val="single" w:sz="8" w:space="0" w:color="auto"/>
              <w:left w:val="nil"/>
              <w:right w:val="nil"/>
            </w:tcBorders>
            <w:shd w:val="clear" w:color="auto" w:fill="FFFFFF"/>
            <w:vAlign w:val="center"/>
          </w:tcPr>
          <w:p w14:paraId="276FA163" w14:textId="77777777" w:rsidR="004B2619" w:rsidRPr="00B82AEE" w:rsidRDefault="004B2619" w:rsidP="00635070">
            <w:pPr>
              <w:autoSpaceDE w:val="0"/>
              <w:autoSpaceDN w:val="0"/>
              <w:adjustRightInd w:val="0"/>
              <w:spacing w:after="0" w:line="320" w:lineRule="atLeast"/>
              <w:ind w:left="60" w:right="60"/>
              <w:jc w:val="center"/>
              <w:rPr>
                <w:rFonts w:ascii="Arial Narrow" w:hAnsi="Arial Narrow" w:cs="Arial"/>
                <w:color w:val="000000"/>
              </w:rPr>
            </w:pPr>
            <w:r w:rsidRPr="00B82AEE">
              <w:rPr>
                <w:rFonts w:ascii="Arial Narrow" w:hAnsi="Arial Narrow" w:cs="Arial"/>
                <w:color w:val="000000"/>
              </w:rPr>
              <w:t>T</w:t>
            </w:r>
          </w:p>
        </w:tc>
        <w:tc>
          <w:tcPr>
            <w:tcW w:w="789" w:type="dxa"/>
            <w:gridSpan w:val="2"/>
            <w:vMerge w:val="restart"/>
            <w:tcBorders>
              <w:top w:val="single" w:sz="8" w:space="0" w:color="auto"/>
              <w:left w:val="nil"/>
              <w:right w:val="nil"/>
            </w:tcBorders>
            <w:shd w:val="clear" w:color="auto" w:fill="FFFFFF"/>
            <w:vAlign w:val="center"/>
          </w:tcPr>
          <w:p w14:paraId="008F0E16" w14:textId="77777777" w:rsidR="004B2619" w:rsidRPr="00B82AEE" w:rsidRDefault="004B2619" w:rsidP="00635070">
            <w:pPr>
              <w:autoSpaceDE w:val="0"/>
              <w:autoSpaceDN w:val="0"/>
              <w:adjustRightInd w:val="0"/>
              <w:spacing w:after="0" w:line="320" w:lineRule="atLeast"/>
              <w:ind w:left="60" w:right="60"/>
              <w:jc w:val="center"/>
              <w:rPr>
                <w:rFonts w:ascii="Arial Narrow" w:hAnsi="Arial Narrow" w:cs="Arial"/>
                <w:color w:val="000000"/>
              </w:rPr>
            </w:pPr>
            <w:r w:rsidRPr="00B82AEE">
              <w:rPr>
                <w:rFonts w:ascii="Arial Narrow" w:hAnsi="Arial Narrow" w:cs="Arial"/>
                <w:color w:val="000000"/>
              </w:rPr>
              <w:t>Sig.</w:t>
            </w:r>
          </w:p>
        </w:tc>
        <w:tc>
          <w:tcPr>
            <w:tcW w:w="2075" w:type="dxa"/>
            <w:gridSpan w:val="3"/>
            <w:tcBorders>
              <w:top w:val="single" w:sz="8" w:space="0" w:color="auto"/>
              <w:left w:val="nil"/>
              <w:bottom w:val="single" w:sz="8" w:space="0" w:color="auto"/>
              <w:right w:val="single" w:sz="8" w:space="0" w:color="auto"/>
            </w:tcBorders>
            <w:shd w:val="clear" w:color="auto" w:fill="FFFFFF"/>
            <w:vAlign w:val="center"/>
          </w:tcPr>
          <w:p w14:paraId="0B1C2189" w14:textId="77777777" w:rsidR="004B2619" w:rsidRPr="00B82AEE" w:rsidRDefault="004B2619" w:rsidP="00635070">
            <w:pPr>
              <w:autoSpaceDE w:val="0"/>
              <w:autoSpaceDN w:val="0"/>
              <w:adjustRightInd w:val="0"/>
              <w:spacing w:after="0" w:line="320" w:lineRule="atLeast"/>
              <w:ind w:left="60" w:right="60"/>
              <w:jc w:val="center"/>
              <w:rPr>
                <w:rFonts w:ascii="Arial Narrow" w:hAnsi="Arial Narrow" w:cs="Arial"/>
                <w:color w:val="000000"/>
              </w:rPr>
            </w:pPr>
            <w:r w:rsidRPr="00B82AEE">
              <w:rPr>
                <w:rFonts w:ascii="Arial Narrow" w:hAnsi="Arial Narrow" w:cs="Arial"/>
                <w:color w:val="000000"/>
              </w:rPr>
              <w:t>95.0% Confidence Interval for B</w:t>
            </w:r>
          </w:p>
        </w:tc>
      </w:tr>
      <w:tr w:rsidR="004B2619" w:rsidRPr="00B82AEE" w14:paraId="208B9689" w14:textId="77777777" w:rsidTr="00472722">
        <w:trPr>
          <w:cantSplit/>
        </w:trPr>
        <w:tc>
          <w:tcPr>
            <w:tcW w:w="2608" w:type="dxa"/>
            <w:vMerge/>
            <w:tcBorders>
              <w:left w:val="single" w:sz="8" w:space="0" w:color="auto"/>
              <w:bottom w:val="single" w:sz="8" w:space="0" w:color="auto"/>
              <w:right w:val="nil"/>
            </w:tcBorders>
            <w:shd w:val="clear" w:color="auto" w:fill="FFFFFF"/>
            <w:vAlign w:val="center"/>
          </w:tcPr>
          <w:p w14:paraId="018BA3FF" w14:textId="77777777" w:rsidR="004B2619" w:rsidRPr="00B82AEE" w:rsidRDefault="004B2619" w:rsidP="00635070">
            <w:pPr>
              <w:autoSpaceDE w:val="0"/>
              <w:autoSpaceDN w:val="0"/>
              <w:adjustRightInd w:val="0"/>
              <w:spacing w:after="0" w:line="320" w:lineRule="atLeast"/>
              <w:ind w:right="60"/>
              <w:jc w:val="both"/>
              <w:rPr>
                <w:rFonts w:ascii="Arial Narrow" w:hAnsi="Arial Narrow" w:cs="Arial"/>
                <w:color w:val="000000"/>
              </w:rPr>
            </w:pPr>
          </w:p>
        </w:tc>
        <w:tc>
          <w:tcPr>
            <w:tcW w:w="1308" w:type="dxa"/>
            <w:tcBorders>
              <w:top w:val="single" w:sz="8" w:space="0" w:color="auto"/>
              <w:left w:val="nil"/>
              <w:bottom w:val="single" w:sz="8" w:space="0" w:color="auto"/>
              <w:right w:val="nil"/>
            </w:tcBorders>
            <w:shd w:val="clear" w:color="auto" w:fill="FFFFFF"/>
            <w:vAlign w:val="center"/>
          </w:tcPr>
          <w:p w14:paraId="651F13B3" w14:textId="77777777" w:rsidR="004B2619" w:rsidRPr="00B82AEE" w:rsidRDefault="004B2619" w:rsidP="0063507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cs="Arial"/>
                <w:color w:val="000000"/>
              </w:rPr>
              <w:t>B</w:t>
            </w:r>
          </w:p>
        </w:tc>
        <w:tc>
          <w:tcPr>
            <w:tcW w:w="1202" w:type="dxa"/>
            <w:gridSpan w:val="2"/>
            <w:tcBorders>
              <w:top w:val="single" w:sz="8" w:space="0" w:color="auto"/>
              <w:left w:val="nil"/>
              <w:bottom w:val="single" w:sz="8" w:space="0" w:color="auto"/>
              <w:right w:val="nil"/>
            </w:tcBorders>
            <w:shd w:val="clear" w:color="auto" w:fill="FFFFFF"/>
            <w:vAlign w:val="center"/>
          </w:tcPr>
          <w:p w14:paraId="74439E5B" w14:textId="77777777" w:rsidR="004B2619" w:rsidRPr="00B82AEE" w:rsidRDefault="004B2619" w:rsidP="0063507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cs="Arial"/>
                <w:color w:val="000000"/>
              </w:rPr>
              <w:t>Std. Error</w:t>
            </w:r>
          </w:p>
        </w:tc>
        <w:tc>
          <w:tcPr>
            <w:tcW w:w="1259" w:type="dxa"/>
            <w:gridSpan w:val="2"/>
            <w:tcBorders>
              <w:top w:val="single" w:sz="8" w:space="0" w:color="auto"/>
              <w:left w:val="nil"/>
              <w:bottom w:val="single" w:sz="8" w:space="0" w:color="auto"/>
              <w:right w:val="nil"/>
            </w:tcBorders>
            <w:shd w:val="clear" w:color="auto" w:fill="FFFFFF"/>
            <w:vAlign w:val="center"/>
          </w:tcPr>
          <w:p w14:paraId="611EF6AD" w14:textId="77777777" w:rsidR="004B2619" w:rsidRPr="00B82AEE" w:rsidRDefault="004B2619" w:rsidP="0063507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cs="Arial"/>
                <w:color w:val="000000"/>
              </w:rPr>
              <w:t>B</w:t>
            </w:r>
          </w:p>
        </w:tc>
        <w:tc>
          <w:tcPr>
            <w:tcW w:w="749" w:type="dxa"/>
            <w:gridSpan w:val="2"/>
            <w:vMerge/>
            <w:tcBorders>
              <w:left w:val="nil"/>
              <w:bottom w:val="single" w:sz="8" w:space="0" w:color="auto"/>
              <w:right w:val="nil"/>
            </w:tcBorders>
            <w:shd w:val="clear" w:color="auto" w:fill="FFFFFF"/>
            <w:vAlign w:val="center"/>
          </w:tcPr>
          <w:p w14:paraId="7BEA4128" w14:textId="77777777" w:rsidR="004B2619" w:rsidRPr="00B82AEE" w:rsidRDefault="004B2619" w:rsidP="00635070">
            <w:pPr>
              <w:autoSpaceDE w:val="0"/>
              <w:autoSpaceDN w:val="0"/>
              <w:adjustRightInd w:val="0"/>
              <w:spacing w:after="0" w:line="320" w:lineRule="atLeast"/>
              <w:ind w:left="60" w:right="60"/>
              <w:jc w:val="both"/>
              <w:rPr>
                <w:rFonts w:ascii="Arial Narrow" w:hAnsi="Arial Narrow" w:cs="Arial"/>
                <w:color w:val="000000"/>
              </w:rPr>
            </w:pPr>
          </w:p>
        </w:tc>
        <w:tc>
          <w:tcPr>
            <w:tcW w:w="789" w:type="dxa"/>
            <w:gridSpan w:val="2"/>
            <w:vMerge/>
            <w:tcBorders>
              <w:left w:val="nil"/>
              <w:bottom w:val="single" w:sz="8" w:space="0" w:color="auto"/>
              <w:right w:val="nil"/>
            </w:tcBorders>
            <w:shd w:val="clear" w:color="auto" w:fill="FFFFFF"/>
            <w:vAlign w:val="center"/>
          </w:tcPr>
          <w:p w14:paraId="64D29477" w14:textId="77777777" w:rsidR="004B2619" w:rsidRPr="00B82AEE" w:rsidRDefault="004B2619" w:rsidP="00635070">
            <w:pPr>
              <w:autoSpaceDE w:val="0"/>
              <w:autoSpaceDN w:val="0"/>
              <w:adjustRightInd w:val="0"/>
              <w:spacing w:after="0" w:line="320" w:lineRule="atLeast"/>
              <w:ind w:left="60" w:right="60"/>
              <w:jc w:val="both"/>
              <w:rPr>
                <w:rFonts w:ascii="Arial Narrow" w:hAnsi="Arial Narrow" w:cs="Arial"/>
                <w:color w:val="000000"/>
              </w:rPr>
            </w:pPr>
          </w:p>
        </w:tc>
        <w:tc>
          <w:tcPr>
            <w:tcW w:w="1043" w:type="dxa"/>
            <w:gridSpan w:val="2"/>
            <w:tcBorders>
              <w:top w:val="single" w:sz="8" w:space="0" w:color="auto"/>
              <w:left w:val="nil"/>
              <w:bottom w:val="single" w:sz="8" w:space="0" w:color="auto"/>
              <w:right w:val="nil"/>
            </w:tcBorders>
            <w:shd w:val="clear" w:color="auto" w:fill="FFFFFF"/>
            <w:vAlign w:val="center"/>
          </w:tcPr>
          <w:p w14:paraId="7D9679A9" w14:textId="77777777" w:rsidR="004B2619" w:rsidRPr="00B82AEE" w:rsidRDefault="004B2619" w:rsidP="0063507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cs="Arial"/>
                <w:color w:val="000000"/>
              </w:rPr>
              <w:t>Lower</w:t>
            </w:r>
          </w:p>
        </w:tc>
        <w:tc>
          <w:tcPr>
            <w:tcW w:w="1032" w:type="dxa"/>
            <w:tcBorders>
              <w:top w:val="single" w:sz="8" w:space="0" w:color="auto"/>
              <w:left w:val="nil"/>
              <w:bottom w:val="single" w:sz="8" w:space="0" w:color="auto"/>
              <w:right w:val="single" w:sz="8" w:space="0" w:color="auto"/>
            </w:tcBorders>
            <w:shd w:val="clear" w:color="auto" w:fill="FFFFFF"/>
            <w:vAlign w:val="center"/>
          </w:tcPr>
          <w:p w14:paraId="10C63FD5" w14:textId="77777777" w:rsidR="004B2619" w:rsidRPr="00B82AEE" w:rsidRDefault="004B2619" w:rsidP="0063507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cs="Arial"/>
                <w:color w:val="000000"/>
              </w:rPr>
              <w:t>Upper</w:t>
            </w:r>
          </w:p>
        </w:tc>
      </w:tr>
      <w:tr w:rsidR="009C52E0" w:rsidRPr="00B82AEE" w14:paraId="4BF837E6" w14:textId="77777777" w:rsidTr="004B2619">
        <w:trPr>
          <w:cantSplit/>
        </w:trPr>
        <w:tc>
          <w:tcPr>
            <w:tcW w:w="2608" w:type="dxa"/>
            <w:tcBorders>
              <w:top w:val="single" w:sz="8" w:space="0" w:color="auto"/>
              <w:left w:val="single" w:sz="8" w:space="0" w:color="auto"/>
              <w:bottom w:val="nil"/>
              <w:right w:val="nil"/>
            </w:tcBorders>
            <w:shd w:val="clear" w:color="auto" w:fill="FFFFFF"/>
            <w:vAlign w:val="center"/>
          </w:tcPr>
          <w:p w14:paraId="261ADC8A" w14:textId="77777777"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cs="Arial"/>
                <w:color w:val="000000"/>
              </w:rPr>
              <w:t>(Constant)</w:t>
            </w:r>
          </w:p>
        </w:tc>
        <w:tc>
          <w:tcPr>
            <w:tcW w:w="1308" w:type="dxa"/>
            <w:tcBorders>
              <w:top w:val="single" w:sz="8" w:space="0" w:color="auto"/>
              <w:left w:val="nil"/>
              <w:bottom w:val="nil"/>
              <w:right w:val="nil"/>
            </w:tcBorders>
            <w:shd w:val="clear" w:color="auto" w:fill="FFFFFF"/>
          </w:tcPr>
          <w:p w14:paraId="6F8B5AA5" w14:textId="3433C529"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47.66</w:t>
            </w:r>
          </w:p>
        </w:tc>
        <w:tc>
          <w:tcPr>
            <w:tcW w:w="1202" w:type="dxa"/>
            <w:gridSpan w:val="2"/>
            <w:tcBorders>
              <w:top w:val="single" w:sz="8" w:space="0" w:color="auto"/>
              <w:left w:val="nil"/>
              <w:bottom w:val="nil"/>
              <w:right w:val="nil"/>
            </w:tcBorders>
            <w:shd w:val="clear" w:color="auto" w:fill="FFFFFF"/>
          </w:tcPr>
          <w:p w14:paraId="502154D7" w14:textId="5BA510A4"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3.47</w:t>
            </w:r>
          </w:p>
        </w:tc>
        <w:tc>
          <w:tcPr>
            <w:tcW w:w="1259" w:type="dxa"/>
            <w:gridSpan w:val="2"/>
            <w:tcBorders>
              <w:top w:val="single" w:sz="8" w:space="0" w:color="auto"/>
              <w:left w:val="nil"/>
              <w:bottom w:val="nil"/>
              <w:right w:val="nil"/>
            </w:tcBorders>
            <w:shd w:val="clear" w:color="auto" w:fill="FFFFFF"/>
          </w:tcPr>
          <w:p w14:paraId="29C0A156" w14:textId="77777777"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p>
        </w:tc>
        <w:tc>
          <w:tcPr>
            <w:tcW w:w="749" w:type="dxa"/>
            <w:gridSpan w:val="2"/>
            <w:tcBorders>
              <w:top w:val="single" w:sz="8" w:space="0" w:color="auto"/>
              <w:left w:val="nil"/>
              <w:bottom w:val="nil"/>
              <w:right w:val="nil"/>
            </w:tcBorders>
            <w:shd w:val="clear" w:color="auto" w:fill="FFFFFF"/>
          </w:tcPr>
          <w:p w14:paraId="5DFA22ED" w14:textId="5D4DAAC7"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13.72</w:t>
            </w:r>
          </w:p>
        </w:tc>
        <w:tc>
          <w:tcPr>
            <w:tcW w:w="789" w:type="dxa"/>
            <w:gridSpan w:val="2"/>
            <w:tcBorders>
              <w:top w:val="single" w:sz="8" w:space="0" w:color="auto"/>
              <w:left w:val="nil"/>
              <w:bottom w:val="nil"/>
              <w:right w:val="nil"/>
            </w:tcBorders>
            <w:shd w:val="clear" w:color="auto" w:fill="FFFFFF"/>
          </w:tcPr>
          <w:p w14:paraId="601AD143" w14:textId="0922CF1D"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&lt;.001</w:t>
            </w:r>
          </w:p>
        </w:tc>
        <w:tc>
          <w:tcPr>
            <w:tcW w:w="1043" w:type="dxa"/>
            <w:gridSpan w:val="2"/>
            <w:tcBorders>
              <w:top w:val="single" w:sz="8" w:space="0" w:color="auto"/>
              <w:left w:val="nil"/>
              <w:bottom w:val="nil"/>
              <w:right w:val="nil"/>
            </w:tcBorders>
            <w:shd w:val="clear" w:color="auto" w:fill="FFFFFF"/>
          </w:tcPr>
          <w:p w14:paraId="7FDAD825" w14:textId="65167688"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40.8</w:t>
            </w:r>
            <w:r w:rsidR="00377068" w:rsidRPr="00B82AEE">
              <w:rPr>
                <w:rFonts w:ascii="Arial Narrow" w:hAnsi="Arial Narrow"/>
              </w:rPr>
              <w:t>3</w:t>
            </w:r>
          </w:p>
        </w:tc>
        <w:tc>
          <w:tcPr>
            <w:tcW w:w="1032" w:type="dxa"/>
            <w:tcBorders>
              <w:top w:val="single" w:sz="8" w:space="0" w:color="auto"/>
              <w:left w:val="nil"/>
              <w:bottom w:val="nil"/>
              <w:right w:val="single" w:sz="8" w:space="0" w:color="auto"/>
            </w:tcBorders>
            <w:shd w:val="clear" w:color="auto" w:fill="FFFFFF"/>
          </w:tcPr>
          <w:p w14:paraId="09A2F75C" w14:textId="451596FB"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54.</w:t>
            </w:r>
            <w:r w:rsidR="00533462" w:rsidRPr="00B82AEE">
              <w:rPr>
                <w:rFonts w:ascii="Arial Narrow" w:hAnsi="Arial Narrow"/>
              </w:rPr>
              <w:t>50</w:t>
            </w:r>
          </w:p>
        </w:tc>
      </w:tr>
      <w:tr w:rsidR="009C52E0" w:rsidRPr="00B82AEE" w14:paraId="30E4300F" w14:textId="77777777" w:rsidTr="004B2619">
        <w:trPr>
          <w:cantSplit/>
        </w:trPr>
        <w:tc>
          <w:tcPr>
            <w:tcW w:w="2608" w:type="dxa"/>
            <w:tcBorders>
              <w:top w:val="nil"/>
              <w:left w:val="single" w:sz="8" w:space="0" w:color="auto"/>
              <w:bottom w:val="nil"/>
              <w:right w:val="nil"/>
            </w:tcBorders>
            <w:shd w:val="clear" w:color="auto" w:fill="FFFFFF"/>
            <w:vAlign w:val="center"/>
          </w:tcPr>
          <w:p w14:paraId="0C85443B" w14:textId="77777777" w:rsidR="009C52E0" w:rsidRPr="00B82AEE" w:rsidRDefault="009C52E0" w:rsidP="009C52E0">
            <w:pPr>
              <w:autoSpaceDE w:val="0"/>
              <w:autoSpaceDN w:val="0"/>
              <w:adjustRightInd w:val="0"/>
              <w:spacing w:after="0" w:line="320" w:lineRule="atLeast"/>
              <w:ind w:left="60" w:right="60"/>
              <w:jc w:val="both"/>
              <w:rPr>
                <w:rFonts w:ascii="Arial Narrow" w:hAnsi="Arial Narrow" w:cs="Arial"/>
                <w:b/>
                <w:color w:val="000000"/>
              </w:rPr>
            </w:pPr>
            <w:r w:rsidRPr="00B82AEE">
              <w:rPr>
                <w:rFonts w:ascii="Arial Narrow" w:hAnsi="Arial Narrow" w:cs="Arial"/>
                <w:b/>
                <w:color w:val="000000"/>
              </w:rPr>
              <w:t>Sex</w:t>
            </w:r>
          </w:p>
        </w:tc>
        <w:tc>
          <w:tcPr>
            <w:tcW w:w="1308" w:type="dxa"/>
            <w:tcBorders>
              <w:top w:val="nil"/>
              <w:left w:val="nil"/>
              <w:bottom w:val="nil"/>
              <w:right w:val="nil"/>
            </w:tcBorders>
            <w:shd w:val="clear" w:color="auto" w:fill="FFFFFF"/>
          </w:tcPr>
          <w:p w14:paraId="6F973E75" w14:textId="411F8BC3"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3.32</w:t>
            </w:r>
          </w:p>
        </w:tc>
        <w:tc>
          <w:tcPr>
            <w:tcW w:w="1202" w:type="dxa"/>
            <w:gridSpan w:val="2"/>
            <w:tcBorders>
              <w:top w:val="nil"/>
              <w:left w:val="nil"/>
              <w:bottom w:val="nil"/>
              <w:right w:val="nil"/>
            </w:tcBorders>
            <w:shd w:val="clear" w:color="auto" w:fill="FFFFFF"/>
          </w:tcPr>
          <w:p w14:paraId="18440318" w14:textId="12337891"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1.1</w:t>
            </w:r>
            <w:r w:rsidR="00377068" w:rsidRPr="00B82AEE">
              <w:rPr>
                <w:rFonts w:ascii="Arial Narrow" w:hAnsi="Arial Narrow"/>
              </w:rPr>
              <w:t>8</w:t>
            </w:r>
          </w:p>
        </w:tc>
        <w:tc>
          <w:tcPr>
            <w:tcW w:w="1259" w:type="dxa"/>
            <w:gridSpan w:val="2"/>
            <w:tcBorders>
              <w:top w:val="nil"/>
              <w:left w:val="nil"/>
              <w:bottom w:val="nil"/>
              <w:right w:val="nil"/>
            </w:tcBorders>
            <w:shd w:val="clear" w:color="auto" w:fill="FFFFFF"/>
          </w:tcPr>
          <w:p w14:paraId="04377B7A" w14:textId="4B711DFD"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.1</w:t>
            </w:r>
            <w:r w:rsidR="00377068" w:rsidRPr="00B82AEE">
              <w:rPr>
                <w:rFonts w:ascii="Arial Narrow" w:hAnsi="Arial Narrow"/>
              </w:rPr>
              <w:t>5</w:t>
            </w:r>
          </w:p>
        </w:tc>
        <w:tc>
          <w:tcPr>
            <w:tcW w:w="749" w:type="dxa"/>
            <w:gridSpan w:val="2"/>
            <w:tcBorders>
              <w:top w:val="nil"/>
              <w:left w:val="nil"/>
              <w:bottom w:val="nil"/>
              <w:right w:val="nil"/>
            </w:tcBorders>
            <w:shd w:val="clear" w:color="auto" w:fill="FFFFFF"/>
          </w:tcPr>
          <w:p w14:paraId="5F889CEF" w14:textId="29026E49"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2.8</w:t>
            </w:r>
            <w:r w:rsidR="00377068" w:rsidRPr="00B82AEE">
              <w:rPr>
                <w:rFonts w:ascii="Arial Narrow" w:hAnsi="Arial Narrow"/>
              </w:rPr>
              <w:t>3</w:t>
            </w:r>
          </w:p>
        </w:tc>
        <w:tc>
          <w:tcPr>
            <w:tcW w:w="789" w:type="dxa"/>
            <w:gridSpan w:val="2"/>
            <w:tcBorders>
              <w:top w:val="nil"/>
              <w:left w:val="nil"/>
              <w:bottom w:val="nil"/>
              <w:right w:val="nil"/>
            </w:tcBorders>
            <w:shd w:val="clear" w:color="auto" w:fill="FFFFFF"/>
          </w:tcPr>
          <w:p w14:paraId="16F95DB6" w14:textId="70750BC2"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.005</w:t>
            </w:r>
          </w:p>
        </w:tc>
        <w:tc>
          <w:tcPr>
            <w:tcW w:w="1043" w:type="dxa"/>
            <w:gridSpan w:val="2"/>
            <w:tcBorders>
              <w:top w:val="nil"/>
              <w:left w:val="nil"/>
              <w:bottom w:val="nil"/>
              <w:right w:val="nil"/>
            </w:tcBorders>
            <w:shd w:val="clear" w:color="auto" w:fill="FFFFFF"/>
          </w:tcPr>
          <w:p w14:paraId="778CBD45" w14:textId="1E98173E"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1.008</w:t>
            </w:r>
          </w:p>
        </w:tc>
        <w:tc>
          <w:tcPr>
            <w:tcW w:w="1032" w:type="dxa"/>
            <w:tcBorders>
              <w:top w:val="nil"/>
              <w:left w:val="nil"/>
              <w:bottom w:val="nil"/>
              <w:right w:val="single" w:sz="8" w:space="0" w:color="auto"/>
            </w:tcBorders>
            <w:shd w:val="clear" w:color="auto" w:fill="FFFFFF"/>
          </w:tcPr>
          <w:p w14:paraId="6D45FC12" w14:textId="684DFA57"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5.63</w:t>
            </w:r>
          </w:p>
        </w:tc>
      </w:tr>
      <w:tr w:rsidR="009C52E0" w:rsidRPr="00B82AEE" w14:paraId="4592FFF0" w14:textId="77777777" w:rsidTr="004B2619">
        <w:trPr>
          <w:cantSplit/>
        </w:trPr>
        <w:tc>
          <w:tcPr>
            <w:tcW w:w="2608" w:type="dxa"/>
            <w:tcBorders>
              <w:top w:val="nil"/>
              <w:left w:val="single" w:sz="8" w:space="0" w:color="auto"/>
              <w:bottom w:val="nil"/>
              <w:right w:val="nil"/>
            </w:tcBorders>
            <w:shd w:val="clear" w:color="auto" w:fill="FFFFFF"/>
            <w:vAlign w:val="center"/>
          </w:tcPr>
          <w:p w14:paraId="3D146A1E" w14:textId="77777777" w:rsidR="009C52E0" w:rsidRPr="00B82AEE" w:rsidRDefault="009C52E0" w:rsidP="009C52E0">
            <w:pPr>
              <w:autoSpaceDE w:val="0"/>
              <w:autoSpaceDN w:val="0"/>
              <w:adjustRightInd w:val="0"/>
              <w:spacing w:after="0" w:line="320" w:lineRule="atLeast"/>
              <w:ind w:left="60" w:right="60"/>
              <w:jc w:val="both"/>
              <w:rPr>
                <w:rFonts w:ascii="Arial Narrow" w:hAnsi="Arial Narrow" w:cs="Arial"/>
                <w:b/>
                <w:color w:val="000000"/>
              </w:rPr>
            </w:pPr>
            <w:r w:rsidRPr="00B82AEE">
              <w:rPr>
                <w:rFonts w:ascii="Arial Narrow" w:hAnsi="Arial Narrow" w:cs="Arial"/>
                <w:b/>
                <w:color w:val="000000"/>
              </w:rPr>
              <w:t>Maternal Education</w:t>
            </w:r>
          </w:p>
        </w:tc>
        <w:tc>
          <w:tcPr>
            <w:tcW w:w="1308" w:type="dxa"/>
            <w:tcBorders>
              <w:top w:val="nil"/>
              <w:left w:val="nil"/>
              <w:bottom w:val="nil"/>
              <w:right w:val="nil"/>
            </w:tcBorders>
            <w:shd w:val="clear" w:color="auto" w:fill="FFFFFF"/>
          </w:tcPr>
          <w:p w14:paraId="5337E35A" w14:textId="3219AD83"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4.053</w:t>
            </w:r>
          </w:p>
        </w:tc>
        <w:tc>
          <w:tcPr>
            <w:tcW w:w="1202" w:type="dxa"/>
            <w:gridSpan w:val="2"/>
            <w:tcBorders>
              <w:top w:val="nil"/>
              <w:left w:val="nil"/>
              <w:bottom w:val="nil"/>
              <w:right w:val="nil"/>
            </w:tcBorders>
            <w:shd w:val="clear" w:color="auto" w:fill="FFFFFF"/>
          </w:tcPr>
          <w:p w14:paraId="2219E776" w14:textId="70115A21"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1.4</w:t>
            </w:r>
            <w:r w:rsidR="00377068" w:rsidRPr="00B82AEE">
              <w:rPr>
                <w:rFonts w:ascii="Arial Narrow" w:hAnsi="Arial Narrow"/>
              </w:rPr>
              <w:t>2</w:t>
            </w:r>
          </w:p>
        </w:tc>
        <w:tc>
          <w:tcPr>
            <w:tcW w:w="1259" w:type="dxa"/>
            <w:gridSpan w:val="2"/>
            <w:tcBorders>
              <w:top w:val="nil"/>
              <w:left w:val="nil"/>
              <w:bottom w:val="nil"/>
              <w:right w:val="nil"/>
            </w:tcBorders>
            <w:shd w:val="clear" w:color="auto" w:fill="FFFFFF"/>
          </w:tcPr>
          <w:p w14:paraId="56D165B2" w14:textId="4D985345"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.16</w:t>
            </w:r>
          </w:p>
        </w:tc>
        <w:tc>
          <w:tcPr>
            <w:tcW w:w="749" w:type="dxa"/>
            <w:gridSpan w:val="2"/>
            <w:tcBorders>
              <w:top w:val="nil"/>
              <w:left w:val="nil"/>
              <w:bottom w:val="nil"/>
              <w:right w:val="nil"/>
            </w:tcBorders>
            <w:shd w:val="clear" w:color="auto" w:fill="FFFFFF"/>
          </w:tcPr>
          <w:p w14:paraId="3A37309C" w14:textId="251577EE"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2.8</w:t>
            </w:r>
            <w:r w:rsidR="00377068" w:rsidRPr="00B82AEE">
              <w:rPr>
                <w:rFonts w:ascii="Arial Narrow" w:hAnsi="Arial Narrow"/>
              </w:rPr>
              <w:t>6</w:t>
            </w:r>
          </w:p>
        </w:tc>
        <w:tc>
          <w:tcPr>
            <w:tcW w:w="789" w:type="dxa"/>
            <w:gridSpan w:val="2"/>
            <w:tcBorders>
              <w:top w:val="nil"/>
              <w:left w:val="nil"/>
              <w:bottom w:val="nil"/>
              <w:right w:val="nil"/>
            </w:tcBorders>
            <w:shd w:val="clear" w:color="auto" w:fill="FFFFFF"/>
          </w:tcPr>
          <w:p w14:paraId="7250AD6E" w14:textId="5550FF8C"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.005</w:t>
            </w:r>
          </w:p>
        </w:tc>
        <w:tc>
          <w:tcPr>
            <w:tcW w:w="1043" w:type="dxa"/>
            <w:gridSpan w:val="2"/>
            <w:tcBorders>
              <w:top w:val="nil"/>
              <w:left w:val="nil"/>
              <w:bottom w:val="nil"/>
              <w:right w:val="nil"/>
            </w:tcBorders>
            <w:shd w:val="clear" w:color="auto" w:fill="FFFFFF"/>
          </w:tcPr>
          <w:p w14:paraId="1C1A5038" w14:textId="6C250ACD"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1.26</w:t>
            </w:r>
          </w:p>
        </w:tc>
        <w:tc>
          <w:tcPr>
            <w:tcW w:w="1032" w:type="dxa"/>
            <w:tcBorders>
              <w:top w:val="nil"/>
              <w:left w:val="nil"/>
              <w:bottom w:val="nil"/>
              <w:right w:val="single" w:sz="8" w:space="0" w:color="auto"/>
            </w:tcBorders>
            <w:shd w:val="clear" w:color="auto" w:fill="FFFFFF"/>
          </w:tcPr>
          <w:p w14:paraId="3884468A" w14:textId="1289CFAC"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6.84</w:t>
            </w:r>
          </w:p>
        </w:tc>
      </w:tr>
      <w:tr w:rsidR="009C52E0" w:rsidRPr="00B82AEE" w14:paraId="0790827E" w14:textId="77777777" w:rsidTr="004B2619">
        <w:trPr>
          <w:cantSplit/>
        </w:trPr>
        <w:tc>
          <w:tcPr>
            <w:tcW w:w="2608" w:type="dxa"/>
            <w:tcBorders>
              <w:top w:val="nil"/>
              <w:left w:val="single" w:sz="8" w:space="0" w:color="auto"/>
              <w:bottom w:val="nil"/>
              <w:right w:val="nil"/>
            </w:tcBorders>
            <w:shd w:val="clear" w:color="auto" w:fill="FFFFFF"/>
            <w:vAlign w:val="center"/>
          </w:tcPr>
          <w:p w14:paraId="337171EE" w14:textId="77777777" w:rsidR="009C52E0" w:rsidRPr="00B82AEE" w:rsidRDefault="009C52E0" w:rsidP="009C52E0">
            <w:pPr>
              <w:autoSpaceDE w:val="0"/>
              <w:autoSpaceDN w:val="0"/>
              <w:adjustRightInd w:val="0"/>
              <w:spacing w:after="0" w:line="320" w:lineRule="atLeast"/>
              <w:ind w:left="60" w:right="60"/>
              <w:jc w:val="both"/>
              <w:rPr>
                <w:rFonts w:ascii="Arial Narrow" w:hAnsi="Arial Narrow" w:cs="Arial"/>
                <w:b/>
                <w:color w:val="000000"/>
              </w:rPr>
            </w:pPr>
            <w:r w:rsidRPr="00B82AEE">
              <w:rPr>
                <w:rFonts w:ascii="Arial Narrow" w:hAnsi="Arial Narrow" w:cs="Arial"/>
                <w:b/>
                <w:color w:val="000000"/>
              </w:rPr>
              <w:t>Income</w:t>
            </w:r>
          </w:p>
        </w:tc>
        <w:tc>
          <w:tcPr>
            <w:tcW w:w="1308" w:type="dxa"/>
            <w:tcBorders>
              <w:top w:val="nil"/>
              <w:left w:val="nil"/>
              <w:bottom w:val="nil"/>
              <w:right w:val="nil"/>
            </w:tcBorders>
            <w:shd w:val="clear" w:color="auto" w:fill="FFFFFF"/>
          </w:tcPr>
          <w:p w14:paraId="222C85D7" w14:textId="5D3D4F86"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2.5</w:t>
            </w:r>
            <w:r w:rsidR="00377068" w:rsidRPr="00B82AEE">
              <w:rPr>
                <w:rFonts w:ascii="Arial Narrow" w:hAnsi="Arial Narrow"/>
              </w:rPr>
              <w:t>5</w:t>
            </w:r>
          </w:p>
        </w:tc>
        <w:tc>
          <w:tcPr>
            <w:tcW w:w="1202" w:type="dxa"/>
            <w:gridSpan w:val="2"/>
            <w:tcBorders>
              <w:top w:val="nil"/>
              <w:left w:val="nil"/>
              <w:bottom w:val="nil"/>
              <w:right w:val="nil"/>
            </w:tcBorders>
            <w:shd w:val="clear" w:color="auto" w:fill="FFFFFF"/>
          </w:tcPr>
          <w:p w14:paraId="21173C6F" w14:textId="6D91B712"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1.26</w:t>
            </w:r>
          </w:p>
        </w:tc>
        <w:tc>
          <w:tcPr>
            <w:tcW w:w="1259" w:type="dxa"/>
            <w:gridSpan w:val="2"/>
            <w:tcBorders>
              <w:top w:val="nil"/>
              <w:left w:val="nil"/>
              <w:bottom w:val="nil"/>
              <w:right w:val="nil"/>
            </w:tcBorders>
            <w:shd w:val="clear" w:color="auto" w:fill="FFFFFF"/>
          </w:tcPr>
          <w:p w14:paraId="13763210" w14:textId="67BF5F2C"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.11</w:t>
            </w:r>
          </w:p>
        </w:tc>
        <w:tc>
          <w:tcPr>
            <w:tcW w:w="749" w:type="dxa"/>
            <w:gridSpan w:val="2"/>
            <w:tcBorders>
              <w:top w:val="nil"/>
              <w:left w:val="nil"/>
              <w:bottom w:val="nil"/>
              <w:right w:val="nil"/>
            </w:tcBorders>
            <w:shd w:val="clear" w:color="auto" w:fill="FFFFFF"/>
          </w:tcPr>
          <w:p w14:paraId="386B4B15" w14:textId="7BA0B867"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2.016</w:t>
            </w:r>
          </w:p>
        </w:tc>
        <w:tc>
          <w:tcPr>
            <w:tcW w:w="789" w:type="dxa"/>
            <w:gridSpan w:val="2"/>
            <w:tcBorders>
              <w:top w:val="nil"/>
              <w:left w:val="nil"/>
              <w:bottom w:val="nil"/>
              <w:right w:val="nil"/>
            </w:tcBorders>
            <w:shd w:val="clear" w:color="auto" w:fill="FFFFFF"/>
          </w:tcPr>
          <w:p w14:paraId="072C321C" w14:textId="1F687142"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.045</w:t>
            </w:r>
          </w:p>
        </w:tc>
        <w:tc>
          <w:tcPr>
            <w:tcW w:w="1043" w:type="dxa"/>
            <w:gridSpan w:val="2"/>
            <w:tcBorders>
              <w:top w:val="nil"/>
              <w:left w:val="nil"/>
              <w:bottom w:val="nil"/>
              <w:right w:val="nil"/>
            </w:tcBorders>
            <w:shd w:val="clear" w:color="auto" w:fill="FFFFFF"/>
          </w:tcPr>
          <w:p w14:paraId="458B089B" w14:textId="2DA53464"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.062</w:t>
            </w:r>
          </w:p>
        </w:tc>
        <w:tc>
          <w:tcPr>
            <w:tcW w:w="1032" w:type="dxa"/>
            <w:tcBorders>
              <w:top w:val="nil"/>
              <w:left w:val="nil"/>
              <w:bottom w:val="nil"/>
              <w:right w:val="single" w:sz="8" w:space="0" w:color="auto"/>
            </w:tcBorders>
            <w:shd w:val="clear" w:color="auto" w:fill="FFFFFF"/>
          </w:tcPr>
          <w:p w14:paraId="01D5F123" w14:textId="35D7A2DE"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5.036</w:t>
            </w:r>
          </w:p>
        </w:tc>
      </w:tr>
      <w:tr w:rsidR="009C52E0" w:rsidRPr="00B82AEE" w14:paraId="790AACEF" w14:textId="77777777" w:rsidTr="004B2619">
        <w:trPr>
          <w:cantSplit/>
        </w:trPr>
        <w:tc>
          <w:tcPr>
            <w:tcW w:w="2608" w:type="dxa"/>
            <w:tcBorders>
              <w:top w:val="nil"/>
              <w:left w:val="single" w:sz="8" w:space="0" w:color="auto"/>
              <w:bottom w:val="nil"/>
              <w:right w:val="nil"/>
            </w:tcBorders>
            <w:shd w:val="clear" w:color="auto" w:fill="FFFFFF"/>
            <w:vAlign w:val="center"/>
          </w:tcPr>
          <w:p w14:paraId="252E2CB1" w14:textId="0A449ED4"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cs="Arial"/>
                <w:color w:val="000000"/>
              </w:rPr>
              <w:t>Race</w:t>
            </w:r>
          </w:p>
        </w:tc>
        <w:tc>
          <w:tcPr>
            <w:tcW w:w="1308" w:type="dxa"/>
            <w:tcBorders>
              <w:top w:val="nil"/>
              <w:left w:val="nil"/>
              <w:bottom w:val="nil"/>
              <w:right w:val="nil"/>
            </w:tcBorders>
            <w:shd w:val="clear" w:color="auto" w:fill="FFFFFF"/>
          </w:tcPr>
          <w:p w14:paraId="77754DC0" w14:textId="3670941B" w:rsidR="009C52E0" w:rsidRPr="00B82AEE" w:rsidRDefault="009C52E0" w:rsidP="009C52E0">
            <w:pPr>
              <w:autoSpaceDE w:val="0"/>
              <w:autoSpaceDN w:val="0"/>
              <w:adjustRightInd w:val="0"/>
              <w:spacing w:after="0" w:line="320" w:lineRule="atLeast"/>
              <w:ind w:left="60" w:right="60"/>
              <w:jc w:val="both"/>
              <w:rPr>
                <w:rFonts w:ascii="Arial Narrow" w:hAnsi="Arial Narrow"/>
              </w:rPr>
            </w:pPr>
            <w:r w:rsidRPr="00B82AEE">
              <w:rPr>
                <w:rFonts w:ascii="Arial Narrow" w:hAnsi="Arial Narrow"/>
              </w:rPr>
              <w:t>.048</w:t>
            </w:r>
          </w:p>
        </w:tc>
        <w:tc>
          <w:tcPr>
            <w:tcW w:w="1202" w:type="dxa"/>
            <w:gridSpan w:val="2"/>
            <w:tcBorders>
              <w:top w:val="nil"/>
              <w:left w:val="nil"/>
              <w:bottom w:val="nil"/>
              <w:right w:val="nil"/>
            </w:tcBorders>
            <w:shd w:val="clear" w:color="auto" w:fill="FFFFFF"/>
          </w:tcPr>
          <w:p w14:paraId="6A34BB94" w14:textId="391B762F" w:rsidR="009C52E0" w:rsidRPr="00B82AEE" w:rsidRDefault="009C52E0" w:rsidP="009C52E0">
            <w:pPr>
              <w:autoSpaceDE w:val="0"/>
              <w:autoSpaceDN w:val="0"/>
              <w:adjustRightInd w:val="0"/>
              <w:spacing w:after="0" w:line="320" w:lineRule="atLeast"/>
              <w:ind w:left="60" w:right="60"/>
              <w:jc w:val="both"/>
              <w:rPr>
                <w:rFonts w:ascii="Arial Narrow" w:hAnsi="Arial Narrow"/>
              </w:rPr>
            </w:pPr>
            <w:r w:rsidRPr="00B82AEE">
              <w:rPr>
                <w:rFonts w:ascii="Arial Narrow" w:hAnsi="Arial Narrow"/>
              </w:rPr>
              <w:t>1.7</w:t>
            </w:r>
            <w:r w:rsidR="00377068" w:rsidRPr="00B82AEE">
              <w:rPr>
                <w:rFonts w:ascii="Arial Narrow" w:hAnsi="Arial Narrow"/>
              </w:rPr>
              <w:t>2</w:t>
            </w:r>
          </w:p>
        </w:tc>
        <w:tc>
          <w:tcPr>
            <w:tcW w:w="1259" w:type="dxa"/>
            <w:gridSpan w:val="2"/>
            <w:tcBorders>
              <w:top w:val="nil"/>
              <w:left w:val="nil"/>
              <w:bottom w:val="nil"/>
              <w:right w:val="nil"/>
            </w:tcBorders>
            <w:shd w:val="clear" w:color="auto" w:fill="FFFFFF"/>
          </w:tcPr>
          <w:p w14:paraId="040D0E49" w14:textId="3A9B8F38" w:rsidR="009C52E0" w:rsidRPr="00B82AEE" w:rsidRDefault="009C52E0" w:rsidP="009C52E0">
            <w:pPr>
              <w:autoSpaceDE w:val="0"/>
              <w:autoSpaceDN w:val="0"/>
              <w:adjustRightInd w:val="0"/>
              <w:spacing w:after="0" w:line="320" w:lineRule="atLeast"/>
              <w:ind w:left="60" w:right="60"/>
              <w:jc w:val="both"/>
              <w:rPr>
                <w:rFonts w:ascii="Arial Narrow" w:hAnsi="Arial Narrow"/>
              </w:rPr>
            </w:pPr>
            <w:r w:rsidRPr="00B82AEE">
              <w:rPr>
                <w:rFonts w:ascii="Arial Narrow" w:hAnsi="Arial Narrow"/>
              </w:rPr>
              <w:t>.001</w:t>
            </w:r>
          </w:p>
        </w:tc>
        <w:tc>
          <w:tcPr>
            <w:tcW w:w="749" w:type="dxa"/>
            <w:gridSpan w:val="2"/>
            <w:tcBorders>
              <w:top w:val="nil"/>
              <w:left w:val="nil"/>
              <w:bottom w:val="nil"/>
              <w:right w:val="nil"/>
            </w:tcBorders>
            <w:shd w:val="clear" w:color="auto" w:fill="FFFFFF"/>
          </w:tcPr>
          <w:p w14:paraId="03E9C11E" w14:textId="7CD21FA5" w:rsidR="009C52E0" w:rsidRPr="00B82AEE" w:rsidRDefault="009C52E0" w:rsidP="009C52E0">
            <w:pPr>
              <w:autoSpaceDE w:val="0"/>
              <w:autoSpaceDN w:val="0"/>
              <w:adjustRightInd w:val="0"/>
              <w:spacing w:after="0" w:line="320" w:lineRule="atLeast"/>
              <w:ind w:left="60" w:right="60"/>
              <w:jc w:val="both"/>
              <w:rPr>
                <w:rFonts w:ascii="Arial Narrow" w:hAnsi="Arial Narrow"/>
              </w:rPr>
            </w:pPr>
            <w:r w:rsidRPr="00B82AEE">
              <w:rPr>
                <w:rFonts w:ascii="Arial Narrow" w:hAnsi="Arial Narrow"/>
              </w:rPr>
              <w:t>.028</w:t>
            </w:r>
          </w:p>
        </w:tc>
        <w:tc>
          <w:tcPr>
            <w:tcW w:w="789" w:type="dxa"/>
            <w:gridSpan w:val="2"/>
            <w:tcBorders>
              <w:top w:val="nil"/>
              <w:left w:val="nil"/>
              <w:bottom w:val="nil"/>
              <w:right w:val="nil"/>
            </w:tcBorders>
            <w:shd w:val="clear" w:color="auto" w:fill="FFFFFF"/>
          </w:tcPr>
          <w:p w14:paraId="39A25106" w14:textId="7CA377FA" w:rsidR="009C52E0" w:rsidRPr="00B82AEE" w:rsidRDefault="009C52E0" w:rsidP="009C52E0">
            <w:pPr>
              <w:autoSpaceDE w:val="0"/>
              <w:autoSpaceDN w:val="0"/>
              <w:adjustRightInd w:val="0"/>
              <w:spacing w:after="0" w:line="320" w:lineRule="atLeast"/>
              <w:ind w:left="60" w:right="60"/>
              <w:jc w:val="both"/>
              <w:rPr>
                <w:rFonts w:ascii="Arial Narrow" w:hAnsi="Arial Narrow"/>
              </w:rPr>
            </w:pPr>
            <w:r w:rsidRPr="00B82AEE">
              <w:rPr>
                <w:rFonts w:ascii="Arial Narrow" w:hAnsi="Arial Narrow"/>
              </w:rPr>
              <w:t>.98</w:t>
            </w:r>
          </w:p>
        </w:tc>
        <w:tc>
          <w:tcPr>
            <w:tcW w:w="1043" w:type="dxa"/>
            <w:gridSpan w:val="2"/>
            <w:tcBorders>
              <w:top w:val="nil"/>
              <w:left w:val="nil"/>
              <w:bottom w:val="nil"/>
              <w:right w:val="nil"/>
            </w:tcBorders>
            <w:shd w:val="clear" w:color="auto" w:fill="FFFFFF"/>
          </w:tcPr>
          <w:p w14:paraId="230B24B4" w14:textId="111EF837" w:rsidR="009C52E0" w:rsidRPr="00B82AEE" w:rsidRDefault="009C52E0" w:rsidP="009C52E0">
            <w:pPr>
              <w:autoSpaceDE w:val="0"/>
              <w:autoSpaceDN w:val="0"/>
              <w:adjustRightInd w:val="0"/>
              <w:spacing w:after="0" w:line="320" w:lineRule="atLeast"/>
              <w:ind w:left="60" w:right="60"/>
              <w:jc w:val="both"/>
              <w:rPr>
                <w:rFonts w:ascii="Arial Narrow" w:hAnsi="Arial Narrow"/>
              </w:rPr>
            </w:pPr>
            <w:r w:rsidRPr="00B82AEE">
              <w:rPr>
                <w:rFonts w:ascii="Arial Narrow" w:hAnsi="Arial Narrow"/>
              </w:rPr>
              <w:t>-3.3</w:t>
            </w:r>
            <w:r w:rsidR="00377068" w:rsidRPr="00B82AEE">
              <w:rPr>
                <w:rFonts w:ascii="Arial Narrow" w:hAnsi="Arial Narrow"/>
              </w:rPr>
              <w:t>3</w:t>
            </w:r>
          </w:p>
        </w:tc>
        <w:tc>
          <w:tcPr>
            <w:tcW w:w="1032" w:type="dxa"/>
            <w:tcBorders>
              <w:top w:val="nil"/>
              <w:left w:val="nil"/>
              <w:bottom w:val="nil"/>
              <w:right w:val="single" w:sz="8" w:space="0" w:color="auto"/>
            </w:tcBorders>
            <w:shd w:val="clear" w:color="auto" w:fill="FFFFFF"/>
          </w:tcPr>
          <w:p w14:paraId="7D8BD8D7" w14:textId="4BF0BAD2" w:rsidR="009C52E0" w:rsidRPr="00B82AEE" w:rsidRDefault="009C52E0" w:rsidP="009C52E0">
            <w:pPr>
              <w:autoSpaceDE w:val="0"/>
              <w:autoSpaceDN w:val="0"/>
              <w:adjustRightInd w:val="0"/>
              <w:spacing w:after="0" w:line="320" w:lineRule="atLeast"/>
              <w:ind w:left="60" w:right="60"/>
              <w:jc w:val="both"/>
              <w:rPr>
                <w:rFonts w:ascii="Arial Narrow" w:hAnsi="Arial Narrow"/>
              </w:rPr>
            </w:pPr>
            <w:r w:rsidRPr="00B82AEE">
              <w:rPr>
                <w:rFonts w:ascii="Arial Narrow" w:hAnsi="Arial Narrow"/>
              </w:rPr>
              <w:t>3.42</w:t>
            </w:r>
          </w:p>
        </w:tc>
      </w:tr>
      <w:tr w:rsidR="009C52E0" w:rsidRPr="00B82AEE" w14:paraId="36164E64" w14:textId="77777777" w:rsidTr="004B2619">
        <w:trPr>
          <w:cantSplit/>
        </w:trPr>
        <w:tc>
          <w:tcPr>
            <w:tcW w:w="2608" w:type="dxa"/>
            <w:tcBorders>
              <w:top w:val="nil"/>
              <w:left w:val="single" w:sz="8" w:space="0" w:color="auto"/>
              <w:bottom w:val="nil"/>
              <w:right w:val="nil"/>
            </w:tcBorders>
            <w:shd w:val="clear" w:color="auto" w:fill="FFFFFF"/>
            <w:vAlign w:val="center"/>
          </w:tcPr>
          <w:p w14:paraId="4DEAC6C9" w14:textId="77777777" w:rsidR="009C52E0" w:rsidRPr="00B82AEE" w:rsidRDefault="009C52E0" w:rsidP="009C52E0">
            <w:pPr>
              <w:autoSpaceDE w:val="0"/>
              <w:autoSpaceDN w:val="0"/>
              <w:adjustRightInd w:val="0"/>
              <w:spacing w:after="0" w:line="320" w:lineRule="atLeast"/>
              <w:ind w:left="60" w:right="60"/>
              <w:jc w:val="both"/>
              <w:rPr>
                <w:rFonts w:ascii="Arial Narrow" w:hAnsi="Arial Narrow" w:cs="Arial"/>
                <w:b/>
                <w:color w:val="000000"/>
              </w:rPr>
            </w:pPr>
            <w:r w:rsidRPr="00B82AEE">
              <w:rPr>
                <w:rFonts w:ascii="Arial Narrow" w:hAnsi="Arial Narrow" w:cs="Arial"/>
                <w:b/>
                <w:color w:val="000000"/>
              </w:rPr>
              <w:t>ASD Risk Status</w:t>
            </w:r>
          </w:p>
        </w:tc>
        <w:tc>
          <w:tcPr>
            <w:tcW w:w="1308" w:type="dxa"/>
            <w:tcBorders>
              <w:top w:val="nil"/>
              <w:left w:val="nil"/>
              <w:bottom w:val="nil"/>
              <w:right w:val="nil"/>
            </w:tcBorders>
            <w:shd w:val="clear" w:color="auto" w:fill="FFFFFF"/>
          </w:tcPr>
          <w:p w14:paraId="42D8E188" w14:textId="2E11096C"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-8.6</w:t>
            </w:r>
            <w:r w:rsidR="00377068" w:rsidRPr="00B82AEE">
              <w:rPr>
                <w:rFonts w:ascii="Arial Narrow" w:hAnsi="Arial Narrow"/>
              </w:rPr>
              <w:t>5</w:t>
            </w:r>
          </w:p>
        </w:tc>
        <w:tc>
          <w:tcPr>
            <w:tcW w:w="1202" w:type="dxa"/>
            <w:gridSpan w:val="2"/>
            <w:tcBorders>
              <w:top w:val="nil"/>
              <w:left w:val="nil"/>
              <w:bottom w:val="nil"/>
              <w:right w:val="nil"/>
            </w:tcBorders>
            <w:shd w:val="clear" w:color="auto" w:fill="FFFFFF"/>
          </w:tcPr>
          <w:p w14:paraId="1550E4C4" w14:textId="4B5BD7D9"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2.33</w:t>
            </w:r>
          </w:p>
        </w:tc>
        <w:tc>
          <w:tcPr>
            <w:tcW w:w="1259" w:type="dxa"/>
            <w:gridSpan w:val="2"/>
            <w:tcBorders>
              <w:top w:val="nil"/>
              <w:left w:val="nil"/>
              <w:bottom w:val="nil"/>
              <w:right w:val="nil"/>
            </w:tcBorders>
            <w:shd w:val="clear" w:color="auto" w:fill="FFFFFF"/>
          </w:tcPr>
          <w:p w14:paraId="5B64FC2F" w14:textId="33B30469"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-.37</w:t>
            </w:r>
          </w:p>
        </w:tc>
        <w:tc>
          <w:tcPr>
            <w:tcW w:w="749" w:type="dxa"/>
            <w:gridSpan w:val="2"/>
            <w:tcBorders>
              <w:top w:val="nil"/>
              <w:left w:val="nil"/>
              <w:bottom w:val="nil"/>
              <w:right w:val="nil"/>
            </w:tcBorders>
            <w:shd w:val="clear" w:color="auto" w:fill="FFFFFF"/>
          </w:tcPr>
          <w:p w14:paraId="4C2B6DC4" w14:textId="323F4DA7"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-3.71</w:t>
            </w:r>
          </w:p>
        </w:tc>
        <w:tc>
          <w:tcPr>
            <w:tcW w:w="789" w:type="dxa"/>
            <w:gridSpan w:val="2"/>
            <w:tcBorders>
              <w:top w:val="nil"/>
              <w:left w:val="nil"/>
              <w:bottom w:val="nil"/>
              <w:right w:val="nil"/>
            </w:tcBorders>
            <w:shd w:val="clear" w:color="auto" w:fill="FFFFFF"/>
          </w:tcPr>
          <w:p w14:paraId="391ED81D" w14:textId="6F339280"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&lt;.001</w:t>
            </w:r>
          </w:p>
        </w:tc>
        <w:tc>
          <w:tcPr>
            <w:tcW w:w="1043" w:type="dxa"/>
            <w:gridSpan w:val="2"/>
            <w:tcBorders>
              <w:top w:val="nil"/>
              <w:left w:val="nil"/>
              <w:bottom w:val="nil"/>
              <w:right w:val="nil"/>
            </w:tcBorders>
            <w:shd w:val="clear" w:color="auto" w:fill="FFFFFF"/>
          </w:tcPr>
          <w:p w14:paraId="6F559731" w14:textId="1347CE39"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-13.23</w:t>
            </w:r>
          </w:p>
        </w:tc>
        <w:tc>
          <w:tcPr>
            <w:tcW w:w="1032" w:type="dxa"/>
            <w:tcBorders>
              <w:top w:val="nil"/>
              <w:left w:val="nil"/>
              <w:bottom w:val="nil"/>
              <w:right w:val="single" w:sz="8" w:space="0" w:color="auto"/>
            </w:tcBorders>
            <w:shd w:val="clear" w:color="auto" w:fill="FFFFFF"/>
          </w:tcPr>
          <w:p w14:paraId="419617A8" w14:textId="1F8AA4DA"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-4.066</w:t>
            </w:r>
          </w:p>
        </w:tc>
      </w:tr>
      <w:tr w:rsidR="009C52E0" w:rsidRPr="00B82AEE" w14:paraId="270844D9" w14:textId="77777777" w:rsidTr="004B2619">
        <w:trPr>
          <w:cantSplit/>
        </w:trPr>
        <w:tc>
          <w:tcPr>
            <w:tcW w:w="2608" w:type="dxa"/>
            <w:tcBorders>
              <w:top w:val="nil"/>
              <w:left w:val="single" w:sz="8" w:space="0" w:color="auto"/>
              <w:bottom w:val="nil"/>
              <w:right w:val="nil"/>
            </w:tcBorders>
            <w:shd w:val="clear" w:color="auto" w:fill="FFFFFF"/>
            <w:vAlign w:val="center"/>
          </w:tcPr>
          <w:p w14:paraId="10CA1B50" w14:textId="4464BF2E" w:rsidR="009C52E0" w:rsidRPr="00B82AEE" w:rsidRDefault="009C52E0" w:rsidP="009C52E0">
            <w:pPr>
              <w:autoSpaceDE w:val="0"/>
              <w:autoSpaceDN w:val="0"/>
              <w:adjustRightInd w:val="0"/>
              <w:spacing w:after="0" w:line="320" w:lineRule="atLeast"/>
              <w:ind w:left="60" w:right="60"/>
              <w:jc w:val="both"/>
              <w:rPr>
                <w:rFonts w:ascii="Arial Narrow" w:hAnsi="Arial Narrow" w:cs="Arial"/>
                <w:b/>
                <w:color w:val="000000"/>
              </w:rPr>
            </w:pPr>
            <w:r w:rsidRPr="00B82AEE">
              <w:rPr>
                <w:rFonts w:ascii="Arial Narrow" w:hAnsi="Arial Narrow" w:cs="Arial"/>
                <w:b/>
                <w:color w:val="000000"/>
              </w:rPr>
              <w:t>Calibrated Social Affect</w:t>
            </w:r>
          </w:p>
        </w:tc>
        <w:tc>
          <w:tcPr>
            <w:tcW w:w="1308" w:type="dxa"/>
            <w:tcBorders>
              <w:top w:val="nil"/>
              <w:left w:val="nil"/>
              <w:bottom w:val="nil"/>
              <w:right w:val="nil"/>
            </w:tcBorders>
            <w:shd w:val="clear" w:color="auto" w:fill="FFFFFF"/>
          </w:tcPr>
          <w:p w14:paraId="34867C64" w14:textId="5EA32EE7"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-2.71</w:t>
            </w:r>
          </w:p>
        </w:tc>
        <w:tc>
          <w:tcPr>
            <w:tcW w:w="1202" w:type="dxa"/>
            <w:gridSpan w:val="2"/>
            <w:tcBorders>
              <w:top w:val="nil"/>
              <w:left w:val="nil"/>
              <w:bottom w:val="nil"/>
              <w:right w:val="nil"/>
            </w:tcBorders>
            <w:shd w:val="clear" w:color="auto" w:fill="FFFFFF"/>
          </w:tcPr>
          <w:p w14:paraId="265EE83D" w14:textId="259E7784"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.94</w:t>
            </w:r>
          </w:p>
        </w:tc>
        <w:tc>
          <w:tcPr>
            <w:tcW w:w="1259" w:type="dxa"/>
            <w:gridSpan w:val="2"/>
            <w:tcBorders>
              <w:top w:val="nil"/>
              <w:left w:val="nil"/>
              <w:bottom w:val="nil"/>
              <w:right w:val="nil"/>
            </w:tcBorders>
            <w:shd w:val="clear" w:color="auto" w:fill="FFFFFF"/>
          </w:tcPr>
          <w:p w14:paraId="220032D2" w14:textId="75BCF96C"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-.28</w:t>
            </w:r>
          </w:p>
        </w:tc>
        <w:tc>
          <w:tcPr>
            <w:tcW w:w="749" w:type="dxa"/>
            <w:gridSpan w:val="2"/>
            <w:tcBorders>
              <w:top w:val="nil"/>
              <w:left w:val="nil"/>
              <w:bottom w:val="nil"/>
              <w:right w:val="nil"/>
            </w:tcBorders>
            <w:shd w:val="clear" w:color="auto" w:fill="FFFFFF"/>
          </w:tcPr>
          <w:p w14:paraId="7CAA60C7" w14:textId="35059559"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-2.88</w:t>
            </w:r>
          </w:p>
        </w:tc>
        <w:tc>
          <w:tcPr>
            <w:tcW w:w="789" w:type="dxa"/>
            <w:gridSpan w:val="2"/>
            <w:tcBorders>
              <w:top w:val="nil"/>
              <w:left w:val="nil"/>
              <w:bottom w:val="nil"/>
              <w:right w:val="nil"/>
            </w:tcBorders>
            <w:shd w:val="clear" w:color="auto" w:fill="FFFFFF"/>
          </w:tcPr>
          <w:p w14:paraId="2F4F9EDE" w14:textId="611F1CD1"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.004</w:t>
            </w:r>
          </w:p>
        </w:tc>
        <w:tc>
          <w:tcPr>
            <w:tcW w:w="1043" w:type="dxa"/>
            <w:gridSpan w:val="2"/>
            <w:tcBorders>
              <w:top w:val="nil"/>
              <w:left w:val="nil"/>
              <w:bottom w:val="nil"/>
              <w:right w:val="nil"/>
            </w:tcBorders>
            <w:shd w:val="clear" w:color="auto" w:fill="FFFFFF"/>
          </w:tcPr>
          <w:p w14:paraId="1C8E65C5" w14:textId="535C341B"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-4.5</w:t>
            </w:r>
            <w:r w:rsidR="00377068" w:rsidRPr="00B82AEE">
              <w:rPr>
                <w:rFonts w:ascii="Arial Narrow" w:hAnsi="Arial Narrow"/>
              </w:rPr>
              <w:t>7</w:t>
            </w:r>
          </w:p>
        </w:tc>
        <w:tc>
          <w:tcPr>
            <w:tcW w:w="1032" w:type="dxa"/>
            <w:tcBorders>
              <w:top w:val="nil"/>
              <w:left w:val="nil"/>
              <w:bottom w:val="nil"/>
              <w:right w:val="single" w:sz="8" w:space="0" w:color="auto"/>
            </w:tcBorders>
            <w:shd w:val="clear" w:color="auto" w:fill="FFFFFF"/>
          </w:tcPr>
          <w:p w14:paraId="1DE2F61C" w14:textId="6D3BF31C"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-.86</w:t>
            </w:r>
          </w:p>
        </w:tc>
      </w:tr>
      <w:tr w:rsidR="009C52E0" w:rsidRPr="00B82AEE" w14:paraId="5052F09D" w14:textId="77777777" w:rsidTr="004B2619">
        <w:trPr>
          <w:cantSplit/>
        </w:trPr>
        <w:tc>
          <w:tcPr>
            <w:tcW w:w="2608" w:type="dxa"/>
            <w:tcBorders>
              <w:top w:val="nil"/>
              <w:left w:val="single" w:sz="8" w:space="0" w:color="auto"/>
              <w:bottom w:val="single" w:sz="8" w:space="0" w:color="auto"/>
              <w:right w:val="nil"/>
            </w:tcBorders>
            <w:shd w:val="clear" w:color="auto" w:fill="FFFFFF"/>
            <w:vAlign w:val="center"/>
          </w:tcPr>
          <w:p w14:paraId="034606E9" w14:textId="77777777" w:rsidR="009C52E0" w:rsidRPr="00B82AEE" w:rsidRDefault="009C52E0" w:rsidP="009C52E0">
            <w:pPr>
              <w:autoSpaceDE w:val="0"/>
              <w:autoSpaceDN w:val="0"/>
              <w:adjustRightInd w:val="0"/>
              <w:spacing w:after="0" w:line="320" w:lineRule="atLeast"/>
              <w:ind w:left="60" w:right="60"/>
              <w:jc w:val="both"/>
              <w:rPr>
                <w:rFonts w:ascii="Arial Narrow" w:hAnsi="Arial Narrow" w:cs="Arial"/>
                <w:b/>
                <w:color w:val="000000"/>
              </w:rPr>
            </w:pPr>
            <w:r w:rsidRPr="00B82AEE">
              <w:rPr>
                <w:rFonts w:ascii="Arial Narrow" w:hAnsi="Arial Narrow" w:cs="Arial"/>
                <w:b/>
                <w:color w:val="000000"/>
              </w:rPr>
              <w:t>Social Affect by Risk Status</w:t>
            </w:r>
          </w:p>
        </w:tc>
        <w:tc>
          <w:tcPr>
            <w:tcW w:w="1308" w:type="dxa"/>
            <w:tcBorders>
              <w:top w:val="nil"/>
              <w:left w:val="nil"/>
              <w:bottom w:val="single" w:sz="8" w:space="0" w:color="auto"/>
              <w:right w:val="nil"/>
            </w:tcBorders>
            <w:shd w:val="clear" w:color="auto" w:fill="FFFFFF"/>
          </w:tcPr>
          <w:p w14:paraId="3083D676" w14:textId="2603459F"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3.2</w:t>
            </w:r>
            <w:r w:rsidR="00377068" w:rsidRPr="00B82AEE">
              <w:rPr>
                <w:rFonts w:ascii="Arial Narrow" w:hAnsi="Arial Narrow"/>
              </w:rPr>
              <w:t>4</w:t>
            </w:r>
          </w:p>
        </w:tc>
        <w:tc>
          <w:tcPr>
            <w:tcW w:w="1202" w:type="dxa"/>
            <w:gridSpan w:val="2"/>
            <w:tcBorders>
              <w:top w:val="nil"/>
              <w:left w:val="nil"/>
              <w:bottom w:val="single" w:sz="8" w:space="0" w:color="auto"/>
              <w:right w:val="nil"/>
            </w:tcBorders>
            <w:shd w:val="clear" w:color="auto" w:fill="FFFFFF"/>
          </w:tcPr>
          <w:p w14:paraId="4CC74117" w14:textId="6692B7B5"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1.11</w:t>
            </w:r>
          </w:p>
        </w:tc>
        <w:tc>
          <w:tcPr>
            <w:tcW w:w="1259" w:type="dxa"/>
            <w:gridSpan w:val="2"/>
            <w:tcBorders>
              <w:top w:val="nil"/>
              <w:left w:val="nil"/>
              <w:bottom w:val="single" w:sz="8" w:space="0" w:color="auto"/>
              <w:right w:val="nil"/>
            </w:tcBorders>
            <w:shd w:val="clear" w:color="auto" w:fill="FFFFFF"/>
          </w:tcPr>
          <w:p w14:paraId="1318E022" w14:textId="0480F0A9"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.3</w:t>
            </w:r>
            <w:r w:rsidR="00377068" w:rsidRPr="00B82AEE">
              <w:rPr>
                <w:rFonts w:ascii="Arial Narrow" w:hAnsi="Arial Narrow"/>
              </w:rPr>
              <w:t>8</w:t>
            </w:r>
          </w:p>
        </w:tc>
        <w:tc>
          <w:tcPr>
            <w:tcW w:w="749" w:type="dxa"/>
            <w:gridSpan w:val="2"/>
            <w:tcBorders>
              <w:top w:val="nil"/>
              <w:left w:val="nil"/>
              <w:bottom w:val="single" w:sz="8" w:space="0" w:color="auto"/>
              <w:right w:val="nil"/>
            </w:tcBorders>
            <w:shd w:val="clear" w:color="auto" w:fill="FFFFFF"/>
          </w:tcPr>
          <w:p w14:paraId="3C5B247C" w14:textId="0C55074C"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2.9</w:t>
            </w:r>
            <w:r w:rsidR="00377068" w:rsidRPr="00B82AEE">
              <w:rPr>
                <w:rFonts w:ascii="Arial Narrow" w:hAnsi="Arial Narrow"/>
              </w:rPr>
              <w:t>1</w:t>
            </w:r>
          </w:p>
        </w:tc>
        <w:tc>
          <w:tcPr>
            <w:tcW w:w="789" w:type="dxa"/>
            <w:gridSpan w:val="2"/>
            <w:tcBorders>
              <w:top w:val="nil"/>
              <w:left w:val="nil"/>
              <w:bottom w:val="single" w:sz="8" w:space="0" w:color="auto"/>
              <w:right w:val="nil"/>
            </w:tcBorders>
            <w:shd w:val="clear" w:color="auto" w:fill="FFFFFF"/>
          </w:tcPr>
          <w:p w14:paraId="0F93825D" w14:textId="01A178AA"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.004</w:t>
            </w:r>
          </w:p>
        </w:tc>
        <w:tc>
          <w:tcPr>
            <w:tcW w:w="1043" w:type="dxa"/>
            <w:gridSpan w:val="2"/>
            <w:tcBorders>
              <w:top w:val="nil"/>
              <w:left w:val="nil"/>
              <w:bottom w:val="single" w:sz="8" w:space="0" w:color="auto"/>
              <w:right w:val="nil"/>
            </w:tcBorders>
            <w:shd w:val="clear" w:color="auto" w:fill="FFFFFF"/>
          </w:tcPr>
          <w:p w14:paraId="28FCF10B" w14:textId="263EBF83"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1.05</w:t>
            </w:r>
          </w:p>
        </w:tc>
        <w:tc>
          <w:tcPr>
            <w:tcW w:w="1032" w:type="dxa"/>
            <w:tcBorders>
              <w:top w:val="nil"/>
              <w:left w:val="nil"/>
              <w:bottom w:val="single" w:sz="8" w:space="0" w:color="auto"/>
              <w:right w:val="single" w:sz="8" w:space="0" w:color="auto"/>
            </w:tcBorders>
            <w:shd w:val="clear" w:color="auto" w:fill="FFFFFF"/>
          </w:tcPr>
          <w:p w14:paraId="0AB802E0" w14:textId="6969E089" w:rsidR="009C52E0" w:rsidRPr="00B82AEE" w:rsidRDefault="009C52E0" w:rsidP="009C52E0">
            <w:pPr>
              <w:autoSpaceDE w:val="0"/>
              <w:autoSpaceDN w:val="0"/>
              <w:adjustRightInd w:val="0"/>
              <w:spacing w:after="0" w:line="320" w:lineRule="atLeast"/>
              <w:ind w:left="60" w:right="60"/>
              <w:jc w:val="both"/>
              <w:rPr>
                <w:rFonts w:ascii="Arial Narrow" w:hAnsi="Arial Narrow" w:cs="Arial"/>
                <w:color w:val="000000"/>
              </w:rPr>
            </w:pPr>
            <w:r w:rsidRPr="00B82AEE">
              <w:rPr>
                <w:rFonts w:ascii="Arial Narrow" w:hAnsi="Arial Narrow"/>
              </w:rPr>
              <w:t>5.4</w:t>
            </w:r>
            <w:r w:rsidR="00533462" w:rsidRPr="00B82AEE">
              <w:rPr>
                <w:rFonts w:ascii="Arial Narrow" w:hAnsi="Arial Narrow"/>
              </w:rPr>
              <w:t>3</w:t>
            </w:r>
          </w:p>
        </w:tc>
      </w:tr>
      <w:tr w:rsidR="00E106A1" w:rsidRPr="00B82AEE" w14:paraId="3B8900D0" w14:textId="77777777" w:rsidTr="004B2619">
        <w:trPr>
          <w:cantSplit/>
        </w:trPr>
        <w:tc>
          <w:tcPr>
            <w:tcW w:w="9990" w:type="dxa"/>
            <w:gridSpan w:val="13"/>
            <w:tcBorders>
              <w:top w:val="single" w:sz="8" w:space="0" w:color="auto"/>
              <w:left w:val="nil"/>
              <w:bottom w:val="nil"/>
              <w:right w:val="nil"/>
            </w:tcBorders>
            <w:shd w:val="clear" w:color="auto" w:fill="FFFFFF"/>
          </w:tcPr>
          <w:p w14:paraId="18E59B71" w14:textId="21B07922" w:rsidR="00E106A1" w:rsidRPr="00B82AEE" w:rsidRDefault="00E106A1" w:rsidP="00A63E31">
            <w:pPr>
              <w:autoSpaceDE w:val="0"/>
              <w:autoSpaceDN w:val="0"/>
              <w:adjustRightInd w:val="0"/>
              <w:spacing w:after="0" w:line="320" w:lineRule="exact"/>
              <w:ind w:right="58"/>
              <w:jc w:val="both"/>
              <w:rPr>
                <w:rFonts w:ascii="Arial Narrow" w:hAnsi="Arial Narrow" w:cs="Arial"/>
                <w:color w:val="000000"/>
              </w:rPr>
            </w:pPr>
            <w:r w:rsidRPr="00B82AEE">
              <w:rPr>
                <w:rFonts w:ascii="Arial Narrow" w:hAnsi="Arial Narrow" w:cs="Arial"/>
                <w:color w:val="000000"/>
              </w:rPr>
              <w:t>These parameters involve the fourth and final step in a hierarchical linear regression model in which either Mullen receptive or expressive language score is the dependent variable. Step 1 consists of the covariates sex, maternal education, income</w:t>
            </w:r>
            <w:r w:rsidR="00A63E31" w:rsidRPr="00B82AEE">
              <w:rPr>
                <w:rFonts w:ascii="Arial Narrow" w:hAnsi="Arial Narrow" w:cs="Arial"/>
                <w:color w:val="000000"/>
              </w:rPr>
              <w:t>, and race</w:t>
            </w:r>
            <w:r w:rsidRPr="00B82AEE">
              <w:rPr>
                <w:rFonts w:ascii="Arial Narrow" w:hAnsi="Arial Narrow" w:cs="Arial"/>
                <w:color w:val="000000"/>
              </w:rPr>
              <w:t xml:space="preserve">; step 2 introduces autism spectrum disorder (ASD) risk status; and step 3 introduces </w:t>
            </w:r>
            <w:r w:rsidR="006A6323" w:rsidRPr="00B82AEE">
              <w:rPr>
                <w:rFonts w:ascii="Arial Narrow" w:hAnsi="Arial Narrow" w:cs="Arial"/>
                <w:color w:val="000000"/>
              </w:rPr>
              <w:t xml:space="preserve">the </w:t>
            </w:r>
            <w:r w:rsidR="00042FF0" w:rsidRPr="00B82AEE">
              <w:rPr>
                <w:rFonts w:ascii="Arial Narrow" w:hAnsi="Arial Narrow" w:cs="Arial"/>
                <w:color w:val="000000"/>
              </w:rPr>
              <w:t xml:space="preserve">calibrated severity </w:t>
            </w:r>
            <w:r w:rsidRPr="00B82AEE">
              <w:rPr>
                <w:rFonts w:ascii="Arial Narrow" w:hAnsi="Arial Narrow" w:cs="Arial"/>
                <w:color w:val="000000"/>
              </w:rPr>
              <w:t>social affect score on the Autism Diagnostic Observation Schedule</w:t>
            </w:r>
            <w:r w:rsidR="006A6323" w:rsidRPr="00B82AEE">
              <w:rPr>
                <w:rFonts w:ascii="Arial Narrow" w:hAnsi="Arial Narrow" w:cs="Arial"/>
                <w:color w:val="000000"/>
              </w:rPr>
              <w:t xml:space="preserve"> [</w:t>
            </w:r>
            <w:r w:rsidR="00A63E31" w:rsidRPr="00B82AEE">
              <w:rPr>
                <w:rFonts w:ascii="Arial Narrow" w:hAnsi="Arial Narrow" w:cs="Arial"/>
                <w:color w:val="000000"/>
              </w:rPr>
              <w:t>1</w:t>
            </w:r>
            <w:r w:rsidR="00C41A74">
              <w:rPr>
                <w:rFonts w:ascii="Arial Narrow" w:hAnsi="Arial Narrow" w:cs="Arial"/>
                <w:color w:val="000000"/>
              </w:rPr>
              <w:t>4</w:t>
            </w:r>
            <w:r w:rsidR="006A6323" w:rsidRPr="00B82AEE">
              <w:rPr>
                <w:rFonts w:ascii="Arial Narrow" w:hAnsi="Arial Narrow" w:cs="Arial"/>
                <w:color w:val="000000"/>
              </w:rPr>
              <w:t>]</w:t>
            </w:r>
            <w:r w:rsidRPr="00B82AEE">
              <w:rPr>
                <w:rFonts w:ascii="Arial Narrow" w:hAnsi="Arial Narrow" w:cs="Arial"/>
                <w:color w:val="000000"/>
              </w:rPr>
              <w:t xml:space="preserve">, which measures autistic social deficits. The fourth step introduces an interaction term for ASD risk status and </w:t>
            </w:r>
            <w:r w:rsidR="006A6323" w:rsidRPr="00B82AEE">
              <w:rPr>
                <w:rFonts w:ascii="Arial Narrow" w:hAnsi="Arial Narrow" w:cs="Arial"/>
                <w:color w:val="000000"/>
              </w:rPr>
              <w:t xml:space="preserve">calibrated </w:t>
            </w:r>
            <w:r w:rsidR="007569A2" w:rsidRPr="00B82AEE">
              <w:rPr>
                <w:rFonts w:ascii="Arial Narrow" w:hAnsi="Arial Narrow" w:cs="Arial"/>
                <w:color w:val="000000"/>
              </w:rPr>
              <w:t xml:space="preserve">severity </w:t>
            </w:r>
            <w:r w:rsidRPr="00B82AEE">
              <w:rPr>
                <w:rFonts w:ascii="Arial Narrow" w:hAnsi="Arial Narrow" w:cs="Arial"/>
                <w:color w:val="000000"/>
              </w:rPr>
              <w:t>social affect</w:t>
            </w:r>
            <w:r w:rsidR="006A6323" w:rsidRPr="00B82AEE">
              <w:rPr>
                <w:rFonts w:ascii="Arial Narrow" w:hAnsi="Arial Narrow" w:cs="Arial"/>
                <w:color w:val="000000"/>
              </w:rPr>
              <w:t xml:space="preserve"> score</w:t>
            </w:r>
            <w:r w:rsidRPr="00B82AEE">
              <w:rPr>
                <w:rFonts w:ascii="Arial Narrow" w:hAnsi="Arial Narrow" w:cs="Arial"/>
                <w:color w:val="000000"/>
              </w:rPr>
              <w:t xml:space="preserve">. Bolded variables demonstrate a significant relationship with language. </w:t>
            </w:r>
            <w:r w:rsidR="006A6323" w:rsidRPr="00B82AEE">
              <w:rPr>
                <w:rFonts w:ascii="Arial Narrow" w:hAnsi="Arial Narrow" w:cs="Arial"/>
                <w:color w:val="000000"/>
              </w:rPr>
              <w:t>Calibrated s</w:t>
            </w:r>
            <w:r w:rsidRPr="00B82AEE">
              <w:rPr>
                <w:rFonts w:ascii="Arial Narrow" w:hAnsi="Arial Narrow" w:cs="Arial"/>
                <w:color w:val="000000"/>
              </w:rPr>
              <w:t xml:space="preserve">ocial affect score is a significant contributor to variation in both receptive and expressive language. The interaction is significant for expressive language and shows a trend for receptive language. </w:t>
            </w:r>
          </w:p>
        </w:tc>
      </w:tr>
    </w:tbl>
    <w:p w14:paraId="66B188CF" w14:textId="77777777" w:rsidR="00E106A1" w:rsidRPr="00B82AEE" w:rsidRDefault="00E106A1" w:rsidP="00323B38">
      <w:pPr>
        <w:jc w:val="both"/>
        <w:rPr>
          <w:rFonts w:ascii="Arial" w:hAnsi="Arial" w:cs="Arial"/>
        </w:rPr>
      </w:pPr>
    </w:p>
    <w:p w14:paraId="1D8BC6F7" w14:textId="77777777" w:rsidR="00490C40" w:rsidRPr="00B82AEE" w:rsidRDefault="00490C40" w:rsidP="00323B38">
      <w:pPr>
        <w:jc w:val="both"/>
        <w:rPr>
          <w:rFonts w:ascii="Arial" w:hAnsi="Arial" w:cs="Arial"/>
        </w:rPr>
      </w:pPr>
      <w:r w:rsidRPr="00B82AEE">
        <w:rPr>
          <w:rFonts w:ascii="Arial" w:hAnsi="Arial" w:cs="Arial"/>
          <w:noProof/>
        </w:rPr>
        <w:lastRenderedPageBreak/>
        <w:drawing>
          <wp:inline distT="0" distB="0" distL="0" distR="0" wp14:anchorId="00CFDFC7" wp14:editId="4735D196">
            <wp:extent cx="5943599" cy="6138791"/>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ta-analysis_supp_020118.png"/>
                    <pic:cNvPicPr/>
                  </pic:nvPicPr>
                  <pic:blipFill>
                    <a:blip r:embed="rId8">
                      <a:extLst>
                        <a:ext uri="{28A0092B-C50C-407E-A947-70E740481C1C}">
                          <a14:useLocalDpi xmlns:a14="http://schemas.microsoft.com/office/drawing/2010/main" val="0"/>
                        </a:ext>
                      </a:extLst>
                    </a:blip>
                    <a:stretch>
                      <a:fillRect/>
                    </a:stretch>
                  </pic:blipFill>
                  <pic:spPr>
                    <a:xfrm>
                      <a:off x="0" y="0"/>
                      <a:ext cx="5943599" cy="6138791"/>
                    </a:xfrm>
                    <a:prstGeom prst="rect">
                      <a:avLst/>
                    </a:prstGeom>
                  </pic:spPr>
                </pic:pic>
              </a:graphicData>
            </a:graphic>
          </wp:inline>
        </w:drawing>
      </w:r>
    </w:p>
    <w:p w14:paraId="65B58A7B" w14:textId="450009D3" w:rsidR="00821284" w:rsidRPr="00B82AEE" w:rsidRDefault="00490C40" w:rsidP="00821284">
      <w:pPr>
        <w:pStyle w:val="EndNoteBibliography"/>
        <w:spacing w:after="0" w:line="480" w:lineRule="auto"/>
        <w:jc w:val="both"/>
        <w:rPr>
          <w:rFonts w:ascii="Arial" w:hAnsi="Arial" w:cs="Arial"/>
        </w:rPr>
      </w:pPr>
      <w:r w:rsidRPr="00B82AEE">
        <w:rPr>
          <w:rFonts w:ascii="Arial" w:hAnsi="Arial" w:cs="Arial"/>
          <w:b/>
        </w:rPr>
        <w:t xml:space="preserve">Figure </w:t>
      </w:r>
      <w:r w:rsidR="00037CB3" w:rsidRPr="00B82AEE">
        <w:rPr>
          <w:rFonts w:ascii="Arial" w:hAnsi="Arial" w:cs="Arial"/>
          <w:b/>
        </w:rPr>
        <w:t>S</w:t>
      </w:r>
      <w:r w:rsidRPr="00B82AEE">
        <w:rPr>
          <w:rFonts w:ascii="Arial" w:hAnsi="Arial" w:cs="Arial"/>
          <w:b/>
        </w:rPr>
        <w:t>1.</w:t>
      </w:r>
      <w:r w:rsidRPr="00B82AEE">
        <w:rPr>
          <w:rFonts w:ascii="Arial" w:hAnsi="Arial" w:cs="Arial"/>
        </w:rPr>
        <w:t xml:space="preserve"> </w:t>
      </w:r>
      <w:r w:rsidR="00821284" w:rsidRPr="00B82AEE">
        <w:rPr>
          <w:rFonts w:ascii="Arial" w:hAnsi="Arial" w:cs="Arial"/>
        </w:rPr>
        <w:t>S</w:t>
      </w:r>
      <w:r w:rsidR="004F15DC" w:rsidRPr="00B82AEE">
        <w:rPr>
          <w:rFonts w:ascii="Arial" w:hAnsi="Arial" w:cs="Arial"/>
        </w:rPr>
        <w:t>econd</w:t>
      </w:r>
      <w:r w:rsidR="00821284" w:rsidRPr="00B82AEE">
        <w:rPr>
          <w:rFonts w:ascii="Arial" w:hAnsi="Arial" w:cs="Arial"/>
        </w:rPr>
        <w:t>ary Meta-analysis of Language Scores in High-risk Siblings without ASD</w:t>
      </w:r>
    </w:p>
    <w:p w14:paraId="19ED73A8" w14:textId="1D8AC1C6" w:rsidR="00C41A74" w:rsidRDefault="00490C40" w:rsidP="00126421">
      <w:pPr>
        <w:spacing w:after="0" w:line="480" w:lineRule="auto"/>
        <w:jc w:val="both"/>
        <w:rPr>
          <w:rFonts w:ascii="Arial" w:hAnsi="Arial" w:cs="Arial"/>
        </w:rPr>
      </w:pPr>
      <w:r w:rsidRPr="00B82AEE">
        <w:rPr>
          <w:rFonts w:ascii="Arial" w:hAnsi="Arial" w:cs="Arial"/>
        </w:rPr>
        <w:t>Forest plots illustrate results of the meta-analysis examining differences in receptive and expressive language scores between low-</w:t>
      </w:r>
      <w:r w:rsidR="00EA01B0" w:rsidRPr="00B82AEE">
        <w:rPr>
          <w:rFonts w:ascii="Arial" w:hAnsi="Arial" w:cs="Arial"/>
        </w:rPr>
        <w:t>risk siblings without ASD (LR-</w:t>
      </w:r>
      <w:proofErr w:type="spellStart"/>
      <w:r w:rsidR="00EA01B0" w:rsidRPr="00B82AEE">
        <w:rPr>
          <w:rFonts w:ascii="Arial" w:hAnsi="Arial" w:cs="Arial"/>
        </w:rPr>
        <w:t>noASD</w:t>
      </w:r>
      <w:proofErr w:type="spellEnd"/>
      <w:r w:rsidR="00EA01B0" w:rsidRPr="00B82AEE">
        <w:rPr>
          <w:rFonts w:ascii="Arial" w:hAnsi="Arial" w:cs="Arial"/>
        </w:rPr>
        <w:t>)</w:t>
      </w:r>
      <w:r w:rsidRPr="00B82AEE">
        <w:rPr>
          <w:rFonts w:ascii="Arial" w:hAnsi="Arial" w:cs="Arial"/>
        </w:rPr>
        <w:t xml:space="preserve"> and high-risk siblings without ASD</w:t>
      </w:r>
      <w:r w:rsidR="00EA01B0" w:rsidRPr="00B82AEE">
        <w:rPr>
          <w:rFonts w:ascii="Arial" w:hAnsi="Arial" w:cs="Arial"/>
        </w:rPr>
        <w:t xml:space="preserve"> (HR-</w:t>
      </w:r>
      <w:proofErr w:type="spellStart"/>
      <w:r w:rsidR="00EA01B0" w:rsidRPr="00B82AEE">
        <w:rPr>
          <w:rFonts w:ascii="Arial" w:hAnsi="Arial" w:cs="Arial"/>
        </w:rPr>
        <w:t>noASD</w:t>
      </w:r>
      <w:proofErr w:type="spellEnd"/>
      <w:r w:rsidR="00EA01B0" w:rsidRPr="00B82AEE">
        <w:rPr>
          <w:rFonts w:ascii="Arial" w:hAnsi="Arial" w:cs="Arial"/>
        </w:rPr>
        <w:t>)</w:t>
      </w:r>
      <w:r w:rsidRPr="00B82AEE">
        <w:rPr>
          <w:rFonts w:ascii="Arial" w:hAnsi="Arial" w:cs="Arial"/>
        </w:rPr>
        <w:t>. Circle sizes illust</w:t>
      </w:r>
      <w:r w:rsidR="00390D96" w:rsidRPr="00B82AEE">
        <w:rPr>
          <w:rFonts w:ascii="Arial" w:hAnsi="Arial" w:cs="Arial"/>
        </w:rPr>
        <w:t>r</w:t>
      </w:r>
      <w:r w:rsidRPr="00B82AEE">
        <w:rPr>
          <w:rFonts w:ascii="Arial" w:hAnsi="Arial" w:cs="Arial"/>
        </w:rPr>
        <w:t>ate each study’s weighted impact</w:t>
      </w:r>
      <w:r w:rsidR="00390D96" w:rsidRPr="00B82AEE">
        <w:rPr>
          <w:rFonts w:ascii="Arial" w:hAnsi="Arial" w:cs="Arial"/>
        </w:rPr>
        <w:t xml:space="preserve"> when including IBIS data</w:t>
      </w:r>
      <w:r w:rsidRPr="00B82AEE">
        <w:rPr>
          <w:rFonts w:ascii="Arial" w:hAnsi="Arial" w:cs="Arial"/>
        </w:rPr>
        <w:t xml:space="preserve">, with values for </w:t>
      </w:r>
      <w:r w:rsidR="00390D96" w:rsidRPr="00B82AEE">
        <w:rPr>
          <w:rFonts w:ascii="Arial" w:hAnsi="Arial" w:cs="Arial"/>
        </w:rPr>
        <w:t xml:space="preserve">weights and </w:t>
      </w:r>
      <w:r w:rsidRPr="00B82AEE">
        <w:rPr>
          <w:rFonts w:ascii="Arial" w:hAnsi="Arial" w:cs="Arial"/>
        </w:rPr>
        <w:t>effect sizes</w:t>
      </w:r>
      <w:r w:rsidR="00390D96" w:rsidRPr="00B82AEE">
        <w:rPr>
          <w:rFonts w:ascii="Arial" w:hAnsi="Arial" w:cs="Arial"/>
        </w:rPr>
        <w:t xml:space="preserve"> </w:t>
      </w:r>
      <w:r w:rsidRPr="00B82AEE">
        <w:rPr>
          <w:rFonts w:ascii="Arial" w:hAnsi="Arial" w:cs="Arial"/>
        </w:rPr>
        <w:t>listed on the right. Error bars represent 95% confidence intervals (CI). Summary weighted effect sizes for published studies</w:t>
      </w:r>
      <w:r w:rsidR="00394E07" w:rsidRPr="00B82AEE">
        <w:rPr>
          <w:rFonts w:ascii="Arial" w:hAnsi="Arial" w:cs="Arial"/>
        </w:rPr>
        <w:t>,</w:t>
      </w:r>
      <w:r w:rsidRPr="00B82AEE">
        <w:rPr>
          <w:rFonts w:ascii="Arial" w:hAnsi="Arial" w:cs="Arial"/>
        </w:rPr>
        <w:t xml:space="preserve"> </w:t>
      </w:r>
      <w:r w:rsidR="00394E07" w:rsidRPr="00B82AEE">
        <w:rPr>
          <w:rFonts w:ascii="Arial" w:hAnsi="Arial" w:cs="Arial"/>
        </w:rPr>
        <w:t xml:space="preserve">indicated as </w:t>
      </w:r>
      <w:r w:rsidR="00394E07" w:rsidRPr="00B82AEE">
        <w:rPr>
          <w:rFonts w:ascii="Arial" w:hAnsi="Arial" w:cs="Arial"/>
        </w:rPr>
        <w:lastRenderedPageBreak/>
        <w:t xml:space="preserve">‘Overall (literature only),’ </w:t>
      </w:r>
      <w:r w:rsidRPr="00B82AEE">
        <w:rPr>
          <w:rFonts w:ascii="Arial" w:hAnsi="Arial" w:cs="Arial"/>
        </w:rPr>
        <w:t xml:space="preserve">are shown as a light gray diamond; the dark gray diamonds show the result including IBIS data. </w:t>
      </w:r>
      <w:bookmarkStart w:id="0" w:name="_Hlk518231523"/>
      <w:r w:rsidR="00B00FC3" w:rsidRPr="00B82AEE">
        <w:rPr>
          <w:rFonts w:ascii="Arial" w:hAnsi="Arial" w:cs="Arial"/>
        </w:rPr>
        <w:t>Numbers of subjects in HR-</w:t>
      </w:r>
      <w:proofErr w:type="spellStart"/>
      <w:r w:rsidR="00B00FC3" w:rsidRPr="00B82AEE">
        <w:rPr>
          <w:rFonts w:ascii="Arial" w:hAnsi="Arial" w:cs="Arial"/>
        </w:rPr>
        <w:t>noASD</w:t>
      </w:r>
      <w:proofErr w:type="spellEnd"/>
      <w:r w:rsidR="00B00FC3" w:rsidRPr="00B82AEE">
        <w:rPr>
          <w:rFonts w:ascii="Arial" w:hAnsi="Arial" w:cs="Arial"/>
        </w:rPr>
        <w:t xml:space="preserve"> </w:t>
      </w:r>
      <w:r w:rsidR="008039DC" w:rsidRPr="00B82AEE">
        <w:rPr>
          <w:rFonts w:ascii="Arial" w:hAnsi="Arial" w:cs="Arial"/>
        </w:rPr>
        <w:t xml:space="preserve">(HR) </w:t>
      </w:r>
      <w:r w:rsidR="00B00FC3" w:rsidRPr="00B82AEE">
        <w:rPr>
          <w:rFonts w:ascii="Arial" w:hAnsi="Arial" w:cs="Arial"/>
        </w:rPr>
        <w:t>and LR-</w:t>
      </w:r>
      <w:proofErr w:type="spellStart"/>
      <w:r w:rsidR="00B00FC3" w:rsidRPr="00B82AEE">
        <w:rPr>
          <w:rFonts w:ascii="Arial" w:hAnsi="Arial" w:cs="Arial"/>
        </w:rPr>
        <w:t>noASD</w:t>
      </w:r>
      <w:proofErr w:type="spellEnd"/>
      <w:r w:rsidR="00B00FC3" w:rsidRPr="00B82AEE">
        <w:rPr>
          <w:rFonts w:ascii="Arial" w:hAnsi="Arial" w:cs="Arial"/>
        </w:rPr>
        <w:t xml:space="preserve"> </w:t>
      </w:r>
      <w:r w:rsidR="008039DC" w:rsidRPr="00B82AEE">
        <w:rPr>
          <w:rFonts w:ascii="Arial" w:hAnsi="Arial" w:cs="Arial"/>
        </w:rPr>
        <w:t xml:space="preserve">(LR) </w:t>
      </w:r>
      <w:r w:rsidR="00B00FC3" w:rsidRPr="00B82AEE">
        <w:rPr>
          <w:rFonts w:ascii="Arial" w:hAnsi="Arial" w:cs="Arial"/>
        </w:rPr>
        <w:t xml:space="preserve">groups are adjacent to these diamond markers. </w:t>
      </w:r>
      <w:bookmarkEnd w:id="0"/>
      <w:r w:rsidRPr="00B82AEE">
        <w:rPr>
          <w:rFonts w:ascii="Arial" w:hAnsi="Arial" w:cs="Arial"/>
        </w:rPr>
        <w:t xml:space="preserve">Both summary effect sizes </w:t>
      </w:r>
      <w:r w:rsidR="001C7BD1" w:rsidRPr="00B82AEE">
        <w:rPr>
          <w:rFonts w:ascii="Arial" w:hAnsi="Arial" w:cs="Arial"/>
        </w:rPr>
        <w:t xml:space="preserve">(i.e., standardized mean differences) </w:t>
      </w:r>
      <w:r w:rsidRPr="00B82AEE">
        <w:rPr>
          <w:rFonts w:ascii="Arial" w:hAnsi="Arial" w:cs="Arial"/>
        </w:rPr>
        <w:t>indicate that receptive and expressive language scores are significantly lower in high-risk siblings. The effect size is moderate for receptive language and small for expressive language</w:t>
      </w:r>
      <w:r w:rsidR="00661D17" w:rsidRPr="00B82AEE">
        <w:rPr>
          <w:rFonts w:ascii="Arial" w:hAnsi="Arial" w:cs="Arial"/>
        </w:rPr>
        <w:t>.</w:t>
      </w:r>
    </w:p>
    <w:p w14:paraId="1C8E3DBC" w14:textId="64825988" w:rsidR="00821284" w:rsidRPr="00B82AEE" w:rsidRDefault="00C41A74" w:rsidP="00C41A74">
      <w:pPr>
        <w:spacing w:after="160" w:line="259" w:lineRule="auto"/>
        <w:rPr>
          <w:rFonts w:ascii="Arial" w:hAnsi="Arial" w:cs="Arial"/>
        </w:rPr>
      </w:pPr>
      <w:r>
        <w:rPr>
          <w:rFonts w:ascii="Arial" w:hAnsi="Arial" w:cs="Arial"/>
        </w:rPr>
        <w:br w:type="page"/>
      </w:r>
    </w:p>
    <w:p w14:paraId="50D7B5E6" w14:textId="7A738A9C" w:rsidR="00490C40" w:rsidRPr="00B82AEE" w:rsidRDefault="00490C40" w:rsidP="00126421">
      <w:pPr>
        <w:spacing w:after="0" w:line="480" w:lineRule="auto"/>
        <w:jc w:val="both"/>
        <w:rPr>
          <w:rFonts w:ascii="Arial" w:hAnsi="Arial" w:cs="Arial"/>
        </w:rPr>
      </w:pPr>
      <w:r w:rsidRPr="00B82AEE">
        <w:rPr>
          <w:rFonts w:ascii="Arial" w:hAnsi="Arial" w:cs="Arial"/>
          <w:noProof/>
        </w:rPr>
        <w:lastRenderedPageBreak/>
        <w:drawing>
          <wp:anchor distT="0" distB="0" distL="114300" distR="114300" simplePos="0" relativeHeight="251658240" behindDoc="0" locked="0" layoutInCell="1" allowOverlap="1" wp14:anchorId="4628143F" wp14:editId="23010D9A">
            <wp:simplePos x="914400" y="914400"/>
            <wp:positionH relativeFrom="column">
              <wp:align>left</wp:align>
            </wp:positionH>
            <wp:positionV relativeFrom="paragraph">
              <wp:align>top</wp:align>
            </wp:positionV>
            <wp:extent cx="2971800" cy="3139337"/>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al_affect_020218_black_gray_cropped.tiff.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1800" cy="3139337"/>
                    </a:xfrm>
                    <a:prstGeom prst="rect">
                      <a:avLst/>
                    </a:prstGeom>
                  </pic:spPr>
                </pic:pic>
              </a:graphicData>
            </a:graphic>
          </wp:anchor>
        </w:drawing>
      </w:r>
      <w:r w:rsidR="000266FB" w:rsidRPr="00B82AEE">
        <w:rPr>
          <w:rFonts w:ascii="Arial" w:hAnsi="Arial" w:cs="Arial"/>
        </w:rPr>
        <w:br w:type="textWrapping" w:clear="all"/>
      </w:r>
    </w:p>
    <w:p w14:paraId="5011D810" w14:textId="2DC8AD5A" w:rsidR="00DB2E10" w:rsidRPr="00B82AEE" w:rsidRDefault="00490C40" w:rsidP="00126421">
      <w:pPr>
        <w:spacing w:after="0" w:line="480" w:lineRule="auto"/>
        <w:jc w:val="both"/>
        <w:rPr>
          <w:rFonts w:ascii="Arial" w:hAnsi="Arial" w:cs="Arial"/>
        </w:rPr>
      </w:pPr>
      <w:r w:rsidRPr="00B82AEE">
        <w:rPr>
          <w:rFonts w:ascii="Arial" w:hAnsi="Arial" w:cs="Arial"/>
          <w:b/>
        </w:rPr>
        <w:t xml:space="preserve">Figure </w:t>
      </w:r>
      <w:r w:rsidR="00636919" w:rsidRPr="00B82AEE">
        <w:rPr>
          <w:rFonts w:ascii="Arial" w:hAnsi="Arial" w:cs="Arial"/>
          <w:b/>
        </w:rPr>
        <w:t>S</w:t>
      </w:r>
      <w:r w:rsidRPr="00B82AEE">
        <w:rPr>
          <w:rFonts w:ascii="Arial" w:hAnsi="Arial" w:cs="Arial"/>
          <w:b/>
        </w:rPr>
        <w:t>2.</w:t>
      </w:r>
      <w:r w:rsidRPr="00B82AEE">
        <w:rPr>
          <w:rFonts w:ascii="Arial" w:hAnsi="Arial" w:cs="Arial"/>
        </w:rPr>
        <w:t xml:space="preserve"> </w:t>
      </w:r>
      <w:r w:rsidR="00DB2E10" w:rsidRPr="00B82AEE">
        <w:rPr>
          <w:rFonts w:ascii="Arial" w:hAnsi="Arial" w:cs="Arial"/>
        </w:rPr>
        <w:t>Social Affect Scores at 24 months of Age in IBIS Infant Siblings</w:t>
      </w:r>
    </w:p>
    <w:p w14:paraId="1512C78C" w14:textId="6FA0D018" w:rsidR="007C349D" w:rsidRDefault="00490C40" w:rsidP="00126421">
      <w:pPr>
        <w:spacing w:after="0" w:line="480" w:lineRule="auto"/>
        <w:jc w:val="both"/>
        <w:rPr>
          <w:rFonts w:ascii="Arial" w:hAnsi="Arial" w:cs="Arial"/>
        </w:rPr>
      </w:pPr>
      <w:r w:rsidRPr="00B82AEE">
        <w:rPr>
          <w:rFonts w:ascii="Arial" w:hAnsi="Arial" w:cs="Arial"/>
        </w:rPr>
        <w:t xml:space="preserve">A histogram for social affect scores </w:t>
      </w:r>
      <w:r w:rsidR="00BB13E4" w:rsidRPr="00B82AEE">
        <w:rPr>
          <w:rFonts w:ascii="Arial" w:hAnsi="Arial" w:cs="Arial"/>
        </w:rPr>
        <w:t xml:space="preserve">(based on the summed item-level values for the social affect </w:t>
      </w:r>
      <w:bookmarkStart w:id="1" w:name="_GoBack"/>
      <w:bookmarkEnd w:id="1"/>
      <w:r w:rsidR="00BB13E4" w:rsidRPr="00B82AEE">
        <w:rPr>
          <w:rFonts w:ascii="Arial" w:hAnsi="Arial" w:cs="Arial"/>
        </w:rPr>
        <w:t>factor described by Gotham and colleagues [1</w:t>
      </w:r>
      <w:r w:rsidR="00C41A74">
        <w:rPr>
          <w:rFonts w:ascii="Arial" w:hAnsi="Arial" w:cs="Arial"/>
        </w:rPr>
        <w:t>5</w:t>
      </w:r>
      <w:r w:rsidR="005203A7" w:rsidRPr="00B82AEE">
        <w:rPr>
          <w:rFonts w:ascii="Arial" w:hAnsi="Arial" w:cs="Arial"/>
        </w:rPr>
        <w:t>]</w:t>
      </w:r>
      <w:r w:rsidR="00BB13E4" w:rsidRPr="00B82AEE">
        <w:rPr>
          <w:rFonts w:ascii="Arial" w:hAnsi="Arial" w:cs="Arial"/>
        </w:rPr>
        <w:t xml:space="preserve"> </w:t>
      </w:r>
      <w:r w:rsidRPr="00B82AEE">
        <w:rPr>
          <w:rFonts w:ascii="Arial" w:hAnsi="Arial" w:cs="Arial"/>
        </w:rPr>
        <w:t xml:space="preserve">on the Autism Diagnostic Observation Schedule </w:t>
      </w:r>
      <w:r w:rsidR="00667F0D" w:rsidRPr="00B82AEE">
        <w:rPr>
          <w:rFonts w:ascii="Arial" w:hAnsi="Arial" w:cs="Arial"/>
        </w:rPr>
        <w:t xml:space="preserve">(ADOS) </w:t>
      </w:r>
      <w:r w:rsidRPr="00B82AEE">
        <w:rPr>
          <w:rFonts w:ascii="Arial" w:hAnsi="Arial" w:cs="Arial"/>
        </w:rPr>
        <w:t xml:space="preserve">at 24 months of age shows overlapping distributions across a similar range for unaffected siblings at low familial risk </w:t>
      </w:r>
      <w:r w:rsidR="00EA01B0" w:rsidRPr="00B82AEE">
        <w:rPr>
          <w:rFonts w:ascii="Arial" w:hAnsi="Arial" w:cs="Arial"/>
        </w:rPr>
        <w:t xml:space="preserve">of ASD </w:t>
      </w:r>
      <w:r w:rsidRPr="00B82AEE">
        <w:rPr>
          <w:rFonts w:ascii="Arial" w:hAnsi="Arial" w:cs="Arial"/>
        </w:rPr>
        <w:t>(LR-</w:t>
      </w:r>
      <w:proofErr w:type="spellStart"/>
      <w:r w:rsidRPr="00B82AEE">
        <w:rPr>
          <w:rFonts w:ascii="Arial" w:hAnsi="Arial" w:cs="Arial"/>
        </w:rPr>
        <w:t>noASD</w:t>
      </w:r>
      <w:proofErr w:type="spellEnd"/>
      <w:r w:rsidRPr="00B82AEE">
        <w:rPr>
          <w:rFonts w:ascii="Arial" w:hAnsi="Arial" w:cs="Arial"/>
        </w:rPr>
        <w:t>, gray bars) and high familial risk of ASD (HR-</w:t>
      </w:r>
      <w:proofErr w:type="spellStart"/>
      <w:r w:rsidRPr="00B82AEE">
        <w:rPr>
          <w:rFonts w:ascii="Arial" w:hAnsi="Arial" w:cs="Arial"/>
        </w:rPr>
        <w:t>noASD</w:t>
      </w:r>
      <w:proofErr w:type="spellEnd"/>
      <w:r w:rsidRPr="00B82AEE">
        <w:rPr>
          <w:rFonts w:ascii="Arial" w:hAnsi="Arial" w:cs="Arial"/>
        </w:rPr>
        <w:t>, black bars).</w:t>
      </w:r>
      <w:r w:rsidR="00905CE6" w:rsidRPr="00B82AEE">
        <w:rPr>
          <w:rFonts w:ascii="Arial" w:hAnsi="Arial" w:cs="Arial"/>
        </w:rPr>
        <w:t xml:space="preserve"> </w:t>
      </w:r>
      <w:r w:rsidR="005E1291" w:rsidRPr="00B82AEE">
        <w:rPr>
          <w:rFonts w:ascii="Arial" w:hAnsi="Arial" w:cs="Arial"/>
        </w:rPr>
        <w:t>Significant r</w:t>
      </w:r>
      <w:r w:rsidR="00043E9F" w:rsidRPr="00B82AEE">
        <w:rPr>
          <w:rFonts w:ascii="Arial" w:hAnsi="Arial" w:cs="Arial"/>
        </w:rPr>
        <w:t>esult</w:t>
      </w:r>
      <w:r w:rsidR="005E1291" w:rsidRPr="00B82AEE">
        <w:rPr>
          <w:rFonts w:ascii="Arial" w:hAnsi="Arial" w:cs="Arial"/>
        </w:rPr>
        <w:t>s do not change when</w:t>
      </w:r>
      <w:r w:rsidR="00905CE6" w:rsidRPr="00B82AEE">
        <w:rPr>
          <w:rFonts w:ascii="Arial" w:hAnsi="Arial" w:cs="Arial"/>
        </w:rPr>
        <w:t xml:space="preserve"> the high-scor</w:t>
      </w:r>
      <w:r w:rsidR="0007238B" w:rsidRPr="00B82AEE">
        <w:rPr>
          <w:rFonts w:ascii="Arial" w:hAnsi="Arial" w:cs="Arial"/>
        </w:rPr>
        <w:t>ing subject</w:t>
      </w:r>
      <w:r w:rsidR="00905CE6" w:rsidRPr="00B82AEE">
        <w:rPr>
          <w:rFonts w:ascii="Arial" w:hAnsi="Arial" w:cs="Arial"/>
        </w:rPr>
        <w:t xml:space="preserve"> in the HR-</w:t>
      </w:r>
      <w:proofErr w:type="spellStart"/>
      <w:r w:rsidR="00905CE6" w:rsidRPr="00B82AEE">
        <w:rPr>
          <w:rFonts w:ascii="Arial" w:hAnsi="Arial" w:cs="Arial"/>
        </w:rPr>
        <w:t>noASD</w:t>
      </w:r>
      <w:proofErr w:type="spellEnd"/>
      <w:r w:rsidR="00905CE6" w:rsidRPr="00B82AEE">
        <w:rPr>
          <w:rFonts w:ascii="Arial" w:hAnsi="Arial" w:cs="Arial"/>
        </w:rPr>
        <w:t xml:space="preserve"> group is removed from analyses.</w:t>
      </w:r>
    </w:p>
    <w:p w14:paraId="075C239B" w14:textId="77777777" w:rsidR="007C349D" w:rsidRDefault="007C349D">
      <w:pPr>
        <w:spacing w:after="160" w:line="259" w:lineRule="auto"/>
        <w:rPr>
          <w:rFonts w:ascii="Arial" w:hAnsi="Arial" w:cs="Arial"/>
        </w:rPr>
      </w:pPr>
      <w:r>
        <w:rPr>
          <w:rFonts w:ascii="Arial" w:hAnsi="Arial" w:cs="Arial"/>
        </w:rPr>
        <w:br w:type="page"/>
      </w:r>
    </w:p>
    <w:p w14:paraId="47CE4079" w14:textId="77777777" w:rsidR="00F86863" w:rsidRPr="00B82AEE" w:rsidRDefault="00F86863" w:rsidP="00F86863">
      <w:pPr>
        <w:spacing w:after="0" w:line="480" w:lineRule="auto"/>
        <w:jc w:val="both"/>
        <w:rPr>
          <w:rFonts w:ascii="Arial" w:hAnsi="Arial" w:cs="Arial"/>
          <w:b/>
        </w:rPr>
      </w:pPr>
      <w:r w:rsidRPr="00B82AEE">
        <w:rPr>
          <w:rFonts w:ascii="Arial" w:hAnsi="Arial" w:cs="Arial"/>
          <w:b/>
        </w:rPr>
        <w:lastRenderedPageBreak/>
        <w:t>REFERENCES</w:t>
      </w:r>
    </w:p>
    <w:p w14:paraId="7EFDD96C" w14:textId="37997781" w:rsidR="00363069" w:rsidRPr="00B82AEE" w:rsidRDefault="00137600" w:rsidP="00137600">
      <w:pPr>
        <w:pStyle w:val="EndNoteBibliography"/>
        <w:spacing w:after="0" w:line="480" w:lineRule="auto"/>
        <w:jc w:val="both"/>
        <w:rPr>
          <w:rFonts w:ascii="Arial" w:hAnsi="Arial" w:cs="Arial"/>
        </w:rPr>
      </w:pPr>
      <w:r w:rsidRPr="00B82AEE">
        <w:rPr>
          <w:rFonts w:ascii="Arial" w:hAnsi="Arial" w:cs="Arial"/>
        </w:rPr>
        <w:t>1.</w:t>
      </w:r>
      <w:r w:rsidRPr="00B82AEE">
        <w:rPr>
          <w:rFonts w:ascii="Arial" w:hAnsi="Arial" w:cs="Arial"/>
        </w:rPr>
        <w:tab/>
      </w:r>
      <w:r w:rsidR="00814835" w:rsidRPr="00B82AEE">
        <w:rPr>
          <w:rFonts w:ascii="Arial" w:hAnsi="Arial" w:cs="Arial"/>
        </w:rPr>
        <w:t>Landa, RJ, Stuart, EA, Gross, AL, Faherty, A. Developmental Trajectories in Children With and Without Autism Spectrum Disorders: The First 3 Years. Child Development. 2013;84:429–442.</w:t>
      </w:r>
    </w:p>
    <w:p w14:paraId="5C931088" w14:textId="316F0AC6" w:rsidR="00363069" w:rsidRPr="00B82AEE" w:rsidRDefault="00363069" w:rsidP="00137600">
      <w:pPr>
        <w:pStyle w:val="EndNoteBibliography"/>
        <w:spacing w:after="0" w:line="480" w:lineRule="auto"/>
        <w:jc w:val="both"/>
        <w:rPr>
          <w:rFonts w:ascii="Arial" w:hAnsi="Arial" w:cs="Arial"/>
        </w:rPr>
      </w:pPr>
      <w:r w:rsidRPr="00B82AEE">
        <w:rPr>
          <w:rFonts w:ascii="Arial" w:hAnsi="Arial" w:cs="Arial"/>
        </w:rPr>
        <w:t>2.</w:t>
      </w:r>
      <w:r w:rsidRPr="00B82AEE">
        <w:rPr>
          <w:rFonts w:ascii="Arial" w:hAnsi="Arial" w:cs="Arial"/>
        </w:rPr>
        <w:tab/>
        <w:t>Messinger</w:t>
      </w:r>
      <w:r w:rsidRPr="00B82AEE">
        <w:t xml:space="preserve"> </w:t>
      </w:r>
      <w:r w:rsidRPr="00B82AEE">
        <w:rPr>
          <w:rFonts w:ascii="Arial" w:hAnsi="Arial" w:cs="Arial"/>
        </w:rPr>
        <w:t>DS, Young GS, Webb SJ, Ozonoff S, Bryson SE, Carter A, et al. Early sex differences are not autism-specific: A Baby Siblings Research Consortium (BSRC) study. Mol Autism. 2015; 6:32.</w:t>
      </w:r>
    </w:p>
    <w:p w14:paraId="0BFD2599" w14:textId="030BB44F" w:rsidR="00363069" w:rsidRPr="00B82AEE" w:rsidRDefault="00363069" w:rsidP="00137600">
      <w:pPr>
        <w:pStyle w:val="EndNoteBibliography"/>
        <w:spacing w:after="0" w:line="480" w:lineRule="auto"/>
        <w:jc w:val="both"/>
        <w:rPr>
          <w:rFonts w:ascii="Arial" w:hAnsi="Arial" w:cs="Arial"/>
        </w:rPr>
      </w:pPr>
      <w:r w:rsidRPr="00B82AEE">
        <w:rPr>
          <w:rFonts w:ascii="Arial" w:hAnsi="Arial" w:cs="Arial"/>
        </w:rPr>
        <w:t>3.</w:t>
      </w:r>
      <w:r w:rsidRPr="00B82AEE">
        <w:rPr>
          <w:rFonts w:ascii="Arial" w:hAnsi="Arial" w:cs="Arial"/>
        </w:rPr>
        <w:tab/>
        <w:t>Mitchell S, Brian J, Zwaigenbaum L, Roberts W, Szatmari P, Smith I, et al. Early language and communication development of infants later diagnosed with autism spectrum disorder. J Dev Behav Pediatr. 2006;27:S69-78</w:t>
      </w:r>
    </w:p>
    <w:p w14:paraId="2F7A03AC" w14:textId="3E067288" w:rsidR="00C2763F" w:rsidRPr="00B82AEE" w:rsidRDefault="00C2763F" w:rsidP="00C2763F">
      <w:pPr>
        <w:pStyle w:val="EndNoteBibliography"/>
        <w:spacing w:after="0" w:line="480" w:lineRule="auto"/>
        <w:jc w:val="both"/>
        <w:rPr>
          <w:rFonts w:ascii="Arial" w:hAnsi="Arial" w:cs="Arial"/>
        </w:rPr>
      </w:pPr>
      <w:r w:rsidRPr="00B82AEE">
        <w:rPr>
          <w:rFonts w:ascii="Arial" w:hAnsi="Arial" w:cs="Arial"/>
        </w:rPr>
        <w:t>4.</w:t>
      </w:r>
      <w:r w:rsidRPr="00B82AEE">
        <w:rPr>
          <w:rFonts w:ascii="Arial" w:hAnsi="Arial" w:cs="Arial"/>
        </w:rPr>
        <w:tab/>
        <w:t>Charman T, Drew A, Baird C, Baird G. Measuring early language development in preschool children with autism spectrum disorder using the MacArthur Communicative Development Inventory (Infant Form). Journal of Child Language. 2003;30:213-36.</w:t>
      </w:r>
    </w:p>
    <w:p w14:paraId="6126535E" w14:textId="35EC645F" w:rsidR="00C2763F" w:rsidRPr="00B82AEE" w:rsidRDefault="00C2763F" w:rsidP="00C2763F">
      <w:pPr>
        <w:pStyle w:val="EndNoteBibliography"/>
        <w:spacing w:after="0" w:line="480" w:lineRule="auto"/>
        <w:jc w:val="both"/>
        <w:rPr>
          <w:rFonts w:ascii="Arial" w:hAnsi="Arial" w:cs="Arial"/>
        </w:rPr>
      </w:pPr>
      <w:r w:rsidRPr="00B82AEE">
        <w:rPr>
          <w:rFonts w:ascii="Arial" w:hAnsi="Arial" w:cs="Arial"/>
        </w:rPr>
        <w:t>5.</w:t>
      </w:r>
      <w:r w:rsidRPr="00B82AEE">
        <w:rPr>
          <w:rFonts w:ascii="Arial" w:hAnsi="Arial" w:cs="Arial"/>
        </w:rPr>
        <w:tab/>
        <w:t>Hudry K, Leadbitter K, Temple K, Slonims V, McConachie H, Aldred C, Howlin P, Charman T, Pact Consortium. Preschoolers with autism show greater impairment in receptive compared with expressive language abilities. International Journal of Language &amp; Communication Disorders. 2010;45:681-90.</w:t>
      </w:r>
    </w:p>
    <w:p w14:paraId="39108B0A" w14:textId="5FFD5D35" w:rsidR="00137600" w:rsidRPr="00B82AEE" w:rsidRDefault="00C2763F" w:rsidP="00137600">
      <w:pPr>
        <w:pStyle w:val="EndNoteBibliography"/>
        <w:spacing w:after="0" w:line="480" w:lineRule="auto"/>
        <w:jc w:val="both"/>
        <w:rPr>
          <w:rFonts w:ascii="Arial" w:hAnsi="Arial" w:cs="Arial"/>
        </w:rPr>
      </w:pPr>
      <w:r w:rsidRPr="00B82AEE">
        <w:rPr>
          <w:rFonts w:ascii="Arial" w:hAnsi="Arial" w:cs="Arial"/>
        </w:rPr>
        <w:t>6</w:t>
      </w:r>
      <w:r w:rsidR="00363069" w:rsidRPr="00B82AEE">
        <w:rPr>
          <w:rFonts w:ascii="Arial" w:hAnsi="Arial" w:cs="Arial"/>
        </w:rPr>
        <w:t>.</w:t>
      </w:r>
      <w:r w:rsidR="00363069" w:rsidRPr="00B82AEE">
        <w:rPr>
          <w:rFonts w:ascii="Arial" w:hAnsi="Arial" w:cs="Arial"/>
        </w:rPr>
        <w:tab/>
      </w:r>
      <w:r w:rsidR="00137600" w:rsidRPr="00B82AEE">
        <w:rPr>
          <w:rFonts w:ascii="Arial" w:hAnsi="Arial" w:cs="Arial"/>
        </w:rPr>
        <w:t>Fenson L, Dale PS, Reznick JS, Bates E, Thal DJ, Pethick SJ. Variability in early communicative development. Monogr Soc Res Child Dev. 1994;59:1-173; discussion 174-85.</w:t>
      </w:r>
    </w:p>
    <w:p w14:paraId="4AB2CA93" w14:textId="15EDA9AD" w:rsidR="00137600" w:rsidRPr="00B82AEE" w:rsidRDefault="00C2763F" w:rsidP="00137600">
      <w:pPr>
        <w:pStyle w:val="EndNoteBibliography"/>
        <w:spacing w:after="0" w:line="480" w:lineRule="auto"/>
        <w:jc w:val="both"/>
        <w:rPr>
          <w:rFonts w:ascii="Arial" w:hAnsi="Arial" w:cs="Arial"/>
        </w:rPr>
      </w:pPr>
      <w:r w:rsidRPr="00B82AEE">
        <w:rPr>
          <w:rFonts w:ascii="Arial" w:hAnsi="Arial" w:cs="Arial"/>
        </w:rPr>
        <w:t>7</w:t>
      </w:r>
      <w:r w:rsidR="00137600" w:rsidRPr="00B82AEE">
        <w:rPr>
          <w:rFonts w:ascii="Arial" w:hAnsi="Arial" w:cs="Arial"/>
        </w:rPr>
        <w:t>.</w:t>
      </w:r>
      <w:r w:rsidR="00137600" w:rsidRPr="00B82AEE">
        <w:rPr>
          <w:rFonts w:ascii="Arial" w:hAnsi="Arial" w:cs="Arial"/>
        </w:rPr>
        <w:tab/>
        <w:t>Huttenlocher J, Haight W, Bryk A, Seltzer M, Lyons T. Early Vocabulary Growth: Relation to Language Input and Sex. Dev Psychol. 1991;27:236-48.</w:t>
      </w:r>
    </w:p>
    <w:p w14:paraId="6B0B381E" w14:textId="3589705D" w:rsidR="00F86863" w:rsidRPr="00B82AEE" w:rsidRDefault="00B82AEE" w:rsidP="00126421">
      <w:pPr>
        <w:pStyle w:val="EndNoteBibliography"/>
        <w:spacing w:after="0" w:line="480" w:lineRule="auto"/>
        <w:jc w:val="both"/>
        <w:rPr>
          <w:rFonts w:ascii="Arial" w:hAnsi="Arial" w:cs="Arial"/>
        </w:rPr>
      </w:pPr>
      <w:r>
        <w:rPr>
          <w:rFonts w:ascii="Arial" w:hAnsi="Arial" w:cs="Arial"/>
        </w:rPr>
        <w:t>8</w:t>
      </w:r>
      <w:r w:rsidR="00814835" w:rsidRPr="00B82AEE">
        <w:rPr>
          <w:rFonts w:ascii="Arial" w:hAnsi="Arial" w:cs="Arial"/>
        </w:rPr>
        <w:t>.</w:t>
      </w:r>
      <w:r w:rsidR="00814835" w:rsidRPr="00B82AEE">
        <w:rPr>
          <w:rFonts w:ascii="Arial" w:hAnsi="Arial" w:cs="Arial"/>
        </w:rPr>
        <w:tab/>
      </w:r>
      <w:r w:rsidR="00F86863" w:rsidRPr="00B82AEE">
        <w:rPr>
          <w:rFonts w:ascii="Arial" w:hAnsi="Arial" w:cs="Arial"/>
        </w:rPr>
        <w:t>Toth K, Dawson G, Meltzoff AN, Greenson J, Fein D. Early social, imitation, play, and language abilities of young non-autistic siblings of children with autism. J Autism Dev Disord. 2007;37:145-57.</w:t>
      </w:r>
    </w:p>
    <w:p w14:paraId="25A92F67" w14:textId="55B65F77" w:rsidR="00F86863" w:rsidRPr="00B82AEE" w:rsidRDefault="00B82AEE" w:rsidP="00126421">
      <w:pPr>
        <w:pStyle w:val="EndNoteBibliography"/>
        <w:spacing w:after="0" w:line="480" w:lineRule="auto"/>
        <w:jc w:val="both"/>
        <w:rPr>
          <w:rFonts w:ascii="Arial" w:hAnsi="Arial" w:cs="Arial"/>
        </w:rPr>
      </w:pPr>
      <w:r>
        <w:rPr>
          <w:rFonts w:ascii="Arial" w:hAnsi="Arial" w:cs="Arial"/>
        </w:rPr>
        <w:lastRenderedPageBreak/>
        <w:t>9</w:t>
      </w:r>
      <w:r w:rsidR="00F86863" w:rsidRPr="00B82AEE">
        <w:rPr>
          <w:rFonts w:ascii="Arial" w:hAnsi="Arial" w:cs="Arial"/>
        </w:rPr>
        <w:t>.</w:t>
      </w:r>
      <w:r w:rsidR="00F86863" w:rsidRPr="00B82AEE">
        <w:rPr>
          <w:rFonts w:ascii="Arial" w:hAnsi="Arial" w:cs="Arial"/>
        </w:rPr>
        <w:tab/>
        <w:t>Stone WL, McMahon CR, Yoder PJ, Walden TA. Early social-communicative and cognitive development of younger siblings of children with autism spectrum disorders. Arch Pediatr Adolesc Med. 2007;161:384-90.</w:t>
      </w:r>
    </w:p>
    <w:p w14:paraId="3032535E" w14:textId="54D32A97" w:rsidR="00F86863" w:rsidRPr="00B82AEE" w:rsidRDefault="00363069" w:rsidP="00126421">
      <w:pPr>
        <w:pStyle w:val="EndNoteBibliography"/>
        <w:spacing w:after="0" w:line="480" w:lineRule="auto"/>
        <w:jc w:val="both"/>
        <w:rPr>
          <w:rFonts w:ascii="Arial" w:hAnsi="Arial" w:cs="Arial"/>
        </w:rPr>
      </w:pPr>
      <w:r w:rsidRPr="00B82AEE">
        <w:rPr>
          <w:rFonts w:ascii="Arial" w:hAnsi="Arial" w:cs="Arial"/>
        </w:rPr>
        <w:t>1</w:t>
      </w:r>
      <w:r w:rsidR="00B82AEE">
        <w:rPr>
          <w:rFonts w:ascii="Arial" w:hAnsi="Arial" w:cs="Arial"/>
        </w:rPr>
        <w:t>0</w:t>
      </w:r>
      <w:r w:rsidR="00F86863" w:rsidRPr="00B82AEE">
        <w:rPr>
          <w:rFonts w:ascii="Arial" w:hAnsi="Arial" w:cs="Arial"/>
        </w:rPr>
        <w:t>.</w:t>
      </w:r>
      <w:r w:rsidR="00F86863" w:rsidRPr="00B82AEE">
        <w:rPr>
          <w:rFonts w:ascii="Arial" w:hAnsi="Arial" w:cs="Arial"/>
        </w:rPr>
        <w:tab/>
        <w:t>Paul R, Fuerst Y, Ramsay G, Chawarska K, Klin A. Out of the mouths of babes: vocal production in infant siblings of children with ASD. J Child Psychol Psychiatry. 2011;52:588-98.</w:t>
      </w:r>
    </w:p>
    <w:p w14:paraId="5D8DAD1C" w14:textId="10D80BA2" w:rsidR="00F86863" w:rsidRPr="00B82AEE" w:rsidRDefault="00137600" w:rsidP="00126421">
      <w:pPr>
        <w:pStyle w:val="EndNoteBibliography"/>
        <w:spacing w:after="0" w:line="480" w:lineRule="auto"/>
        <w:jc w:val="both"/>
        <w:rPr>
          <w:rFonts w:ascii="Arial" w:hAnsi="Arial" w:cs="Arial"/>
        </w:rPr>
      </w:pPr>
      <w:r w:rsidRPr="00B82AEE">
        <w:rPr>
          <w:rFonts w:ascii="Arial" w:hAnsi="Arial" w:cs="Arial"/>
        </w:rPr>
        <w:t>1</w:t>
      </w:r>
      <w:r w:rsidR="00B82AEE">
        <w:rPr>
          <w:rFonts w:ascii="Arial" w:hAnsi="Arial" w:cs="Arial"/>
        </w:rPr>
        <w:t>1</w:t>
      </w:r>
      <w:r w:rsidR="00F86863" w:rsidRPr="00B82AEE">
        <w:rPr>
          <w:rFonts w:ascii="Arial" w:hAnsi="Arial" w:cs="Arial"/>
        </w:rPr>
        <w:t xml:space="preserve">. </w:t>
      </w:r>
      <w:r w:rsidR="00F86863" w:rsidRPr="00B82AEE">
        <w:rPr>
          <w:rFonts w:ascii="Arial" w:hAnsi="Arial" w:cs="Arial"/>
        </w:rPr>
        <w:tab/>
        <w:t>Curtin S, Vouloumanos A. Speech preference is associated with autistic-like behavior in 18-months-olds at risk for Autism Spectrum Disorder. J Autism Dev Disord. 2013;43:2114-20.</w:t>
      </w:r>
    </w:p>
    <w:p w14:paraId="2FA95839" w14:textId="63BFD90C" w:rsidR="006F5F11" w:rsidRPr="00B82AEE" w:rsidRDefault="00137600" w:rsidP="00126421">
      <w:pPr>
        <w:pStyle w:val="EndNoteBibliography"/>
        <w:spacing w:after="0" w:line="480" w:lineRule="auto"/>
        <w:jc w:val="both"/>
        <w:rPr>
          <w:rFonts w:ascii="Arial" w:hAnsi="Arial" w:cs="Arial"/>
        </w:rPr>
      </w:pPr>
      <w:r w:rsidRPr="00B82AEE">
        <w:rPr>
          <w:rFonts w:ascii="Arial" w:hAnsi="Arial" w:cs="Arial"/>
        </w:rPr>
        <w:t>1</w:t>
      </w:r>
      <w:r w:rsidR="00B82AEE">
        <w:rPr>
          <w:rFonts w:ascii="Arial" w:hAnsi="Arial" w:cs="Arial"/>
        </w:rPr>
        <w:t>2</w:t>
      </w:r>
      <w:r w:rsidR="006F5F11" w:rsidRPr="00B82AEE">
        <w:rPr>
          <w:rFonts w:ascii="Arial" w:hAnsi="Arial" w:cs="Arial"/>
        </w:rPr>
        <w:t>.</w:t>
      </w:r>
      <w:r w:rsidR="006F5F11" w:rsidRPr="00B82AEE">
        <w:rPr>
          <w:rFonts w:ascii="Arial" w:hAnsi="Arial" w:cs="Arial"/>
        </w:rPr>
        <w:tab/>
        <w:t>Ozonoff S, Young GS, Belding A, Hill M, Hill A, Hutman T, et al. The Broader Autism Phenotype in Infancy: When Does It Emerge? Journal of the American Academy of Child &amp; Adolescent Psychiatry. 2014;53:398-407.</w:t>
      </w:r>
    </w:p>
    <w:p w14:paraId="23B43C0B" w14:textId="7B0BC0BA" w:rsidR="00403A53" w:rsidRPr="00B82AEE" w:rsidRDefault="006F5F11" w:rsidP="00126421">
      <w:pPr>
        <w:pStyle w:val="EndNoteBibliography"/>
        <w:spacing w:after="0" w:line="480" w:lineRule="auto"/>
        <w:jc w:val="both"/>
        <w:rPr>
          <w:rFonts w:ascii="Arial" w:hAnsi="Arial" w:cs="Arial"/>
        </w:rPr>
      </w:pPr>
      <w:r w:rsidRPr="00B82AEE">
        <w:rPr>
          <w:rFonts w:ascii="Arial" w:hAnsi="Arial" w:cs="Arial"/>
        </w:rPr>
        <w:t>1</w:t>
      </w:r>
      <w:r w:rsidR="00B82AEE">
        <w:rPr>
          <w:rFonts w:ascii="Arial" w:hAnsi="Arial" w:cs="Arial"/>
        </w:rPr>
        <w:t>3</w:t>
      </w:r>
      <w:r w:rsidR="00F86863" w:rsidRPr="00B82AEE">
        <w:rPr>
          <w:rFonts w:ascii="Arial" w:hAnsi="Arial" w:cs="Arial"/>
        </w:rPr>
        <w:t>.</w:t>
      </w:r>
      <w:r w:rsidR="00F86863" w:rsidRPr="00B82AEE">
        <w:rPr>
          <w:rFonts w:ascii="Arial" w:hAnsi="Arial" w:cs="Arial"/>
        </w:rPr>
        <w:tab/>
        <w:t>Finch KH, Seery AM, Talbott MR, Nelson CA, Tager-Flusberg H. Lateralization of ERPs to speech and handedness in the early development of autism spectrum disorder. J Neurodev Disord. 2017;9:4.</w:t>
      </w:r>
    </w:p>
    <w:p w14:paraId="55681E42" w14:textId="1156D4DB" w:rsidR="00A63E31" w:rsidRPr="00B82AEE" w:rsidRDefault="00A63E31" w:rsidP="00126421">
      <w:pPr>
        <w:pStyle w:val="EndNoteBibliography"/>
        <w:spacing w:after="0" w:line="480" w:lineRule="auto"/>
        <w:jc w:val="both"/>
        <w:rPr>
          <w:rFonts w:ascii="Arial" w:hAnsi="Arial" w:cs="Arial"/>
        </w:rPr>
      </w:pPr>
      <w:r w:rsidRPr="00B82AEE">
        <w:rPr>
          <w:rFonts w:ascii="Arial" w:hAnsi="Arial" w:cs="Arial"/>
        </w:rPr>
        <w:t>1</w:t>
      </w:r>
      <w:r w:rsidR="00B82AEE">
        <w:rPr>
          <w:rFonts w:ascii="Arial" w:hAnsi="Arial" w:cs="Arial"/>
        </w:rPr>
        <w:t>4</w:t>
      </w:r>
      <w:r w:rsidRPr="00B82AEE">
        <w:rPr>
          <w:rFonts w:ascii="Arial" w:hAnsi="Arial" w:cs="Arial"/>
        </w:rPr>
        <w:t>.</w:t>
      </w:r>
      <w:r w:rsidRPr="00B82AEE">
        <w:rPr>
          <w:rFonts w:ascii="Arial" w:hAnsi="Arial" w:cs="Arial"/>
        </w:rPr>
        <w:tab/>
        <w:t>Hus V, Gotham K, Lord C. Standardizing ADOS domain scores: Separating severity of social affect and restricted and repetitive behaviors. Journal of Autism and Developmental Disorders. 2014;44:2400-12.</w:t>
      </w:r>
    </w:p>
    <w:p w14:paraId="714B1801" w14:textId="1F9B94BB" w:rsidR="00BB13E4" w:rsidRPr="00F86863" w:rsidRDefault="00BB13E4" w:rsidP="00126421">
      <w:pPr>
        <w:pStyle w:val="EndNoteBibliography"/>
        <w:spacing w:after="0" w:line="480" w:lineRule="auto"/>
        <w:jc w:val="both"/>
        <w:rPr>
          <w:rFonts w:ascii="Arial" w:hAnsi="Arial" w:cs="Arial"/>
        </w:rPr>
      </w:pPr>
      <w:r w:rsidRPr="00B82AEE">
        <w:rPr>
          <w:rFonts w:ascii="Arial" w:hAnsi="Arial" w:cs="Arial"/>
        </w:rPr>
        <w:t>1</w:t>
      </w:r>
      <w:r w:rsidR="00B82AEE">
        <w:rPr>
          <w:rFonts w:ascii="Arial" w:hAnsi="Arial" w:cs="Arial"/>
        </w:rPr>
        <w:t>5</w:t>
      </w:r>
      <w:r w:rsidRPr="00B82AEE">
        <w:rPr>
          <w:rFonts w:ascii="Arial" w:hAnsi="Arial" w:cs="Arial"/>
        </w:rPr>
        <w:t>.</w:t>
      </w:r>
      <w:r w:rsidRPr="00B82AEE">
        <w:rPr>
          <w:rFonts w:ascii="Arial" w:hAnsi="Arial" w:cs="Arial"/>
        </w:rPr>
        <w:tab/>
        <w:t>Gotham K, Risi S, Pickles A, Lord C. The Autism Diagnostic Observation Schedule: revised algorithms for improved diagnostic validity. J Autism Dev Disord. 2007;37:613-27.</w:t>
      </w:r>
    </w:p>
    <w:sectPr w:rsidR="00BB13E4" w:rsidRPr="00F86863" w:rsidSect="00CD2F5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B45B5" w14:textId="77777777" w:rsidR="00527B85" w:rsidRDefault="00527B85">
      <w:pPr>
        <w:spacing w:after="0" w:line="240" w:lineRule="auto"/>
      </w:pPr>
      <w:r>
        <w:separator/>
      </w:r>
    </w:p>
  </w:endnote>
  <w:endnote w:type="continuationSeparator" w:id="0">
    <w:p w14:paraId="2BB28CCC" w14:textId="77777777" w:rsidR="00527B85" w:rsidRDefault="00527B85">
      <w:pPr>
        <w:spacing w:after="0" w:line="240" w:lineRule="auto"/>
      </w:pPr>
      <w:r>
        <w:continuationSeparator/>
      </w:r>
    </w:p>
  </w:endnote>
  <w:endnote w:type="continuationNotice" w:id="1">
    <w:p w14:paraId="7C43368A" w14:textId="77777777" w:rsidR="00527B85" w:rsidRDefault="00527B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376107"/>
      <w:docPartObj>
        <w:docPartGallery w:val="Page Numbers (Bottom of Page)"/>
        <w:docPartUnique/>
      </w:docPartObj>
    </w:sdtPr>
    <w:sdtEndPr>
      <w:rPr>
        <w:noProof/>
      </w:rPr>
    </w:sdtEndPr>
    <w:sdtContent>
      <w:p w14:paraId="5348B4CC" w14:textId="76BE5C52" w:rsidR="00007B4D" w:rsidRDefault="00007B4D">
        <w:pPr>
          <w:pStyle w:val="Footer"/>
          <w:jc w:val="right"/>
        </w:pPr>
        <w:r>
          <w:fldChar w:fldCharType="begin"/>
        </w:r>
        <w:r>
          <w:instrText xml:space="preserve"> PAGE   \* MERGEFORMAT </w:instrText>
        </w:r>
        <w:r>
          <w:fldChar w:fldCharType="separate"/>
        </w:r>
        <w:r w:rsidR="00636919">
          <w:rPr>
            <w:noProof/>
          </w:rPr>
          <w:t>7</w:t>
        </w:r>
        <w:r>
          <w:rPr>
            <w:noProof/>
          </w:rPr>
          <w:fldChar w:fldCharType="end"/>
        </w:r>
      </w:p>
    </w:sdtContent>
  </w:sdt>
  <w:p w14:paraId="0BBEA3E9" w14:textId="77777777" w:rsidR="00007B4D" w:rsidRDefault="00007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915F6" w14:textId="77777777" w:rsidR="00527B85" w:rsidRDefault="00527B85">
      <w:pPr>
        <w:spacing w:after="0" w:line="240" w:lineRule="auto"/>
      </w:pPr>
      <w:r>
        <w:separator/>
      </w:r>
    </w:p>
  </w:footnote>
  <w:footnote w:type="continuationSeparator" w:id="0">
    <w:p w14:paraId="01C51A57" w14:textId="77777777" w:rsidR="00527B85" w:rsidRDefault="00527B85">
      <w:pPr>
        <w:spacing w:after="0" w:line="240" w:lineRule="auto"/>
      </w:pPr>
      <w:r>
        <w:continuationSeparator/>
      </w:r>
    </w:p>
  </w:footnote>
  <w:footnote w:type="continuationNotice" w:id="1">
    <w:p w14:paraId="12F80F7B" w14:textId="77777777" w:rsidR="00527B85" w:rsidRDefault="00527B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5C3E1F79A543407E8786D488260D5621"/>
      </w:placeholder>
      <w:temporary/>
      <w:showingPlcHdr/>
      <w15:appearance w15:val="hidden"/>
    </w:sdtPr>
    <w:sdtContent>
      <w:p w14:paraId="74FDC7A7" w14:textId="77777777" w:rsidR="007C349D" w:rsidRDefault="007C349D">
        <w:pPr>
          <w:pStyle w:val="Header"/>
        </w:pPr>
        <w:r>
          <w:t>[Type here]</w:t>
        </w:r>
      </w:p>
    </w:sdtContent>
  </w:sdt>
  <w:p w14:paraId="0EBC4DCB" w14:textId="77777777" w:rsidR="007C349D" w:rsidRDefault="007C3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A427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413BB"/>
    <w:multiLevelType w:val="hybridMultilevel"/>
    <w:tmpl w:val="F9C20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1348C"/>
    <w:multiLevelType w:val="hybridMultilevel"/>
    <w:tmpl w:val="9432D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F6B34"/>
    <w:multiLevelType w:val="hybridMultilevel"/>
    <w:tmpl w:val="77C2D922"/>
    <w:lvl w:ilvl="0" w:tplc="E8DA81FE">
      <w:start w:val="8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637BF"/>
    <w:multiLevelType w:val="hybridMultilevel"/>
    <w:tmpl w:val="50F07C68"/>
    <w:lvl w:ilvl="0" w:tplc="628C232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9126A"/>
    <w:multiLevelType w:val="hybridMultilevel"/>
    <w:tmpl w:val="19FEA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8A7E6B"/>
    <w:multiLevelType w:val="hybridMultilevel"/>
    <w:tmpl w:val="AF827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Total_Editing_Time" w:val="6"/>
  </w:docVars>
  <w:rsids>
    <w:rsidRoot w:val="00EE4665"/>
    <w:rsid w:val="000003C4"/>
    <w:rsid w:val="0000131C"/>
    <w:rsid w:val="00007367"/>
    <w:rsid w:val="00007B4D"/>
    <w:rsid w:val="00011233"/>
    <w:rsid w:val="00013E95"/>
    <w:rsid w:val="0001510A"/>
    <w:rsid w:val="00020EEC"/>
    <w:rsid w:val="00021DEE"/>
    <w:rsid w:val="00023822"/>
    <w:rsid w:val="000266FB"/>
    <w:rsid w:val="00027417"/>
    <w:rsid w:val="000279C4"/>
    <w:rsid w:val="000307DE"/>
    <w:rsid w:val="00031B56"/>
    <w:rsid w:val="000322CD"/>
    <w:rsid w:val="00033708"/>
    <w:rsid w:val="00034C76"/>
    <w:rsid w:val="000354BB"/>
    <w:rsid w:val="0003703A"/>
    <w:rsid w:val="00037CB3"/>
    <w:rsid w:val="00042FF0"/>
    <w:rsid w:val="00043E9F"/>
    <w:rsid w:val="00045BB1"/>
    <w:rsid w:val="00050280"/>
    <w:rsid w:val="00052373"/>
    <w:rsid w:val="00052CA9"/>
    <w:rsid w:val="00052EF7"/>
    <w:rsid w:val="00056B36"/>
    <w:rsid w:val="00057864"/>
    <w:rsid w:val="00057E8C"/>
    <w:rsid w:val="00063C90"/>
    <w:rsid w:val="0006630F"/>
    <w:rsid w:val="00067616"/>
    <w:rsid w:val="0006766F"/>
    <w:rsid w:val="000708FC"/>
    <w:rsid w:val="00071E4D"/>
    <w:rsid w:val="0007238B"/>
    <w:rsid w:val="00075125"/>
    <w:rsid w:val="00075240"/>
    <w:rsid w:val="00080CF8"/>
    <w:rsid w:val="00081137"/>
    <w:rsid w:val="00084D31"/>
    <w:rsid w:val="000869C6"/>
    <w:rsid w:val="000923B8"/>
    <w:rsid w:val="00093034"/>
    <w:rsid w:val="0009675B"/>
    <w:rsid w:val="000A0EE7"/>
    <w:rsid w:val="000A171D"/>
    <w:rsid w:val="000A1BA6"/>
    <w:rsid w:val="000A4641"/>
    <w:rsid w:val="000A5607"/>
    <w:rsid w:val="000B157F"/>
    <w:rsid w:val="000B3DFB"/>
    <w:rsid w:val="000B686E"/>
    <w:rsid w:val="000B783A"/>
    <w:rsid w:val="000C6D5C"/>
    <w:rsid w:val="000C7739"/>
    <w:rsid w:val="000D15F7"/>
    <w:rsid w:val="000D3238"/>
    <w:rsid w:val="000D37A6"/>
    <w:rsid w:val="000D3810"/>
    <w:rsid w:val="000D5BD4"/>
    <w:rsid w:val="000D65FC"/>
    <w:rsid w:val="000E33DC"/>
    <w:rsid w:val="000F06ED"/>
    <w:rsid w:val="000F116E"/>
    <w:rsid w:val="000F46A9"/>
    <w:rsid w:val="000F74B7"/>
    <w:rsid w:val="00100697"/>
    <w:rsid w:val="001027B0"/>
    <w:rsid w:val="00103051"/>
    <w:rsid w:val="00105F1E"/>
    <w:rsid w:val="00106A24"/>
    <w:rsid w:val="0011301F"/>
    <w:rsid w:val="0011475C"/>
    <w:rsid w:val="00115CFD"/>
    <w:rsid w:val="0011666E"/>
    <w:rsid w:val="001225EE"/>
    <w:rsid w:val="001227EA"/>
    <w:rsid w:val="00126421"/>
    <w:rsid w:val="00130A61"/>
    <w:rsid w:val="00130EFF"/>
    <w:rsid w:val="001312DF"/>
    <w:rsid w:val="00131F84"/>
    <w:rsid w:val="0013670B"/>
    <w:rsid w:val="00137600"/>
    <w:rsid w:val="00140268"/>
    <w:rsid w:val="00142B3D"/>
    <w:rsid w:val="001535DC"/>
    <w:rsid w:val="00153D9A"/>
    <w:rsid w:val="001556CF"/>
    <w:rsid w:val="00167746"/>
    <w:rsid w:val="001714EB"/>
    <w:rsid w:val="00173DA9"/>
    <w:rsid w:val="00174A61"/>
    <w:rsid w:val="00175440"/>
    <w:rsid w:val="00180325"/>
    <w:rsid w:val="0018097E"/>
    <w:rsid w:val="001818C8"/>
    <w:rsid w:val="00183B4D"/>
    <w:rsid w:val="00184E17"/>
    <w:rsid w:val="001876B1"/>
    <w:rsid w:val="00190209"/>
    <w:rsid w:val="0019035D"/>
    <w:rsid w:val="00191F93"/>
    <w:rsid w:val="001935DF"/>
    <w:rsid w:val="00193BF2"/>
    <w:rsid w:val="00197BEA"/>
    <w:rsid w:val="001A18F5"/>
    <w:rsid w:val="001A4596"/>
    <w:rsid w:val="001A4B19"/>
    <w:rsid w:val="001B2C1C"/>
    <w:rsid w:val="001B4242"/>
    <w:rsid w:val="001B453C"/>
    <w:rsid w:val="001B56B1"/>
    <w:rsid w:val="001B670F"/>
    <w:rsid w:val="001C0A21"/>
    <w:rsid w:val="001C0EBE"/>
    <w:rsid w:val="001C1167"/>
    <w:rsid w:val="001C57A4"/>
    <w:rsid w:val="001C7BD1"/>
    <w:rsid w:val="001D221A"/>
    <w:rsid w:val="001D3F72"/>
    <w:rsid w:val="001D3F8D"/>
    <w:rsid w:val="001D432E"/>
    <w:rsid w:val="001E4577"/>
    <w:rsid w:val="001E524F"/>
    <w:rsid w:val="001E5B73"/>
    <w:rsid w:val="001E6AF6"/>
    <w:rsid w:val="001E6CC5"/>
    <w:rsid w:val="001F3C14"/>
    <w:rsid w:val="001F509C"/>
    <w:rsid w:val="001F58AF"/>
    <w:rsid w:val="001F7158"/>
    <w:rsid w:val="0020077C"/>
    <w:rsid w:val="00204F07"/>
    <w:rsid w:val="00205D91"/>
    <w:rsid w:val="00207840"/>
    <w:rsid w:val="00213159"/>
    <w:rsid w:val="00214B20"/>
    <w:rsid w:val="002154C7"/>
    <w:rsid w:val="00221372"/>
    <w:rsid w:val="00222214"/>
    <w:rsid w:val="00223562"/>
    <w:rsid w:val="00224B84"/>
    <w:rsid w:val="0022626C"/>
    <w:rsid w:val="00234D9E"/>
    <w:rsid w:val="002376D5"/>
    <w:rsid w:val="00245BA2"/>
    <w:rsid w:val="00250BFC"/>
    <w:rsid w:val="00254835"/>
    <w:rsid w:val="00256DD2"/>
    <w:rsid w:val="002626AE"/>
    <w:rsid w:val="002644DB"/>
    <w:rsid w:val="0026590C"/>
    <w:rsid w:val="00270C08"/>
    <w:rsid w:val="0027108C"/>
    <w:rsid w:val="00274B95"/>
    <w:rsid w:val="00276581"/>
    <w:rsid w:val="00281BEF"/>
    <w:rsid w:val="00290774"/>
    <w:rsid w:val="002944EF"/>
    <w:rsid w:val="002A0263"/>
    <w:rsid w:val="002A1C64"/>
    <w:rsid w:val="002A472A"/>
    <w:rsid w:val="002B514D"/>
    <w:rsid w:val="002B71BC"/>
    <w:rsid w:val="002C1934"/>
    <w:rsid w:val="002C2005"/>
    <w:rsid w:val="002C254D"/>
    <w:rsid w:val="002C35EA"/>
    <w:rsid w:val="002C4D86"/>
    <w:rsid w:val="002C4F00"/>
    <w:rsid w:val="002C531A"/>
    <w:rsid w:val="002D1F38"/>
    <w:rsid w:val="002D2003"/>
    <w:rsid w:val="002E2D8E"/>
    <w:rsid w:val="002E38EF"/>
    <w:rsid w:val="002E41E7"/>
    <w:rsid w:val="002E7022"/>
    <w:rsid w:val="002F0E7B"/>
    <w:rsid w:val="002F70AE"/>
    <w:rsid w:val="00312772"/>
    <w:rsid w:val="00312B35"/>
    <w:rsid w:val="00312D64"/>
    <w:rsid w:val="003135B4"/>
    <w:rsid w:val="003141B6"/>
    <w:rsid w:val="003148B4"/>
    <w:rsid w:val="0032006C"/>
    <w:rsid w:val="00320756"/>
    <w:rsid w:val="003234AD"/>
    <w:rsid w:val="00323B38"/>
    <w:rsid w:val="00325957"/>
    <w:rsid w:val="00326C10"/>
    <w:rsid w:val="00332804"/>
    <w:rsid w:val="0033294E"/>
    <w:rsid w:val="00340E7B"/>
    <w:rsid w:val="00341757"/>
    <w:rsid w:val="00352886"/>
    <w:rsid w:val="00352F1E"/>
    <w:rsid w:val="00355339"/>
    <w:rsid w:val="0035558A"/>
    <w:rsid w:val="00362095"/>
    <w:rsid w:val="00362AA9"/>
    <w:rsid w:val="00363069"/>
    <w:rsid w:val="00366ED2"/>
    <w:rsid w:val="00375302"/>
    <w:rsid w:val="00377068"/>
    <w:rsid w:val="00377DA6"/>
    <w:rsid w:val="003803F8"/>
    <w:rsid w:val="003820D8"/>
    <w:rsid w:val="00384F00"/>
    <w:rsid w:val="00390D96"/>
    <w:rsid w:val="00390DE0"/>
    <w:rsid w:val="0039205D"/>
    <w:rsid w:val="003926CC"/>
    <w:rsid w:val="003948EF"/>
    <w:rsid w:val="00394E07"/>
    <w:rsid w:val="003963B3"/>
    <w:rsid w:val="003A106C"/>
    <w:rsid w:val="003A2CB7"/>
    <w:rsid w:val="003A3199"/>
    <w:rsid w:val="003A3A30"/>
    <w:rsid w:val="003A72A0"/>
    <w:rsid w:val="003A7B18"/>
    <w:rsid w:val="003B0E72"/>
    <w:rsid w:val="003B20DE"/>
    <w:rsid w:val="003B404B"/>
    <w:rsid w:val="003D0AEA"/>
    <w:rsid w:val="003D4750"/>
    <w:rsid w:val="003D4D29"/>
    <w:rsid w:val="003D5C82"/>
    <w:rsid w:val="003D73C4"/>
    <w:rsid w:val="003E004E"/>
    <w:rsid w:val="003E0D62"/>
    <w:rsid w:val="003E2A9F"/>
    <w:rsid w:val="003E4119"/>
    <w:rsid w:val="003E4264"/>
    <w:rsid w:val="003E7386"/>
    <w:rsid w:val="003F54FC"/>
    <w:rsid w:val="003F6B51"/>
    <w:rsid w:val="003F78F7"/>
    <w:rsid w:val="00400A86"/>
    <w:rsid w:val="00403A53"/>
    <w:rsid w:val="00403AD3"/>
    <w:rsid w:val="00405CBC"/>
    <w:rsid w:val="00413119"/>
    <w:rsid w:val="00415035"/>
    <w:rsid w:val="0041643B"/>
    <w:rsid w:val="0041734C"/>
    <w:rsid w:val="004206A9"/>
    <w:rsid w:val="0042214A"/>
    <w:rsid w:val="00422B39"/>
    <w:rsid w:val="004272EB"/>
    <w:rsid w:val="004279AA"/>
    <w:rsid w:val="00427F04"/>
    <w:rsid w:val="004306B4"/>
    <w:rsid w:val="0043295A"/>
    <w:rsid w:val="00433632"/>
    <w:rsid w:val="004343A1"/>
    <w:rsid w:val="00436DE1"/>
    <w:rsid w:val="00444A68"/>
    <w:rsid w:val="004469D5"/>
    <w:rsid w:val="00447372"/>
    <w:rsid w:val="00461146"/>
    <w:rsid w:val="004636F5"/>
    <w:rsid w:val="004735B9"/>
    <w:rsid w:val="00475479"/>
    <w:rsid w:val="004779E8"/>
    <w:rsid w:val="0048101B"/>
    <w:rsid w:val="004824A4"/>
    <w:rsid w:val="00486421"/>
    <w:rsid w:val="00490C40"/>
    <w:rsid w:val="004923C6"/>
    <w:rsid w:val="004926A7"/>
    <w:rsid w:val="00496811"/>
    <w:rsid w:val="0049723E"/>
    <w:rsid w:val="0049781F"/>
    <w:rsid w:val="004A3475"/>
    <w:rsid w:val="004A52EF"/>
    <w:rsid w:val="004A5499"/>
    <w:rsid w:val="004A78E2"/>
    <w:rsid w:val="004B2619"/>
    <w:rsid w:val="004B425E"/>
    <w:rsid w:val="004B5CED"/>
    <w:rsid w:val="004B7B29"/>
    <w:rsid w:val="004C01B1"/>
    <w:rsid w:val="004C39AE"/>
    <w:rsid w:val="004C789F"/>
    <w:rsid w:val="004D0D4F"/>
    <w:rsid w:val="004D40A5"/>
    <w:rsid w:val="004E50FE"/>
    <w:rsid w:val="004E5FC3"/>
    <w:rsid w:val="004F023C"/>
    <w:rsid w:val="004F0C27"/>
    <w:rsid w:val="004F0F98"/>
    <w:rsid w:val="004F14F0"/>
    <w:rsid w:val="004F15DC"/>
    <w:rsid w:val="004F7E83"/>
    <w:rsid w:val="00502A48"/>
    <w:rsid w:val="00505299"/>
    <w:rsid w:val="005102D8"/>
    <w:rsid w:val="0051389A"/>
    <w:rsid w:val="00514C19"/>
    <w:rsid w:val="00514C60"/>
    <w:rsid w:val="005203A7"/>
    <w:rsid w:val="00522096"/>
    <w:rsid w:val="00524D71"/>
    <w:rsid w:val="00527B85"/>
    <w:rsid w:val="00527D2B"/>
    <w:rsid w:val="00527E22"/>
    <w:rsid w:val="005324B1"/>
    <w:rsid w:val="00532552"/>
    <w:rsid w:val="00532B36"/>
    <w:rsid w:val="00533462"/>
    <w:rsid w:val="0053399C"/>
    <w:rsid w:val="00533A00"/>
    <w:rsid w:val="00534846"/>
    <w:rsid w:val="005373F9"/>
    <w:rsid w:val="0053790F"/>
    <w:rsid w:val="0054023D"/>
    <w:rsid w:val="00545A66"/>
    <w:rsid w:val="00547616"/>
    <w:rsid w:val="00551CB0"/>
    <w:rsid w:val="0055396B"/>
    <w:rsid w:val="005605C6"/>
    <w:rsid w:val="005614A6"/>
    <w:rsid w:val="00566909"/>
    <w:rsid w:val="00571755"/>
    <w:rsid w:val="00572B06"/>
    <w:rsid w:val="00572D08"/>
    <w:rsid w:val="00575E0A"/>
    <w:rsid w:val="005827C8"/>
    <w:rsid w:val="00582BF2"/>
    <w:rsid w:val="005837BE"/>
    <w:rsid w:val="00584191"/>
    <w:rsid w:val="0058529F"/>
    <w:rsid w:val="005853DF"/>
    <w:rsid w:val="00586681"/>
    <w:rsid w:val="00586973"/>
    <w:rsid w:val="00592EAA"/>
    <w:rsid w:val="005A1B59"/>
    <w:rsid w:val="005A3518"/>
    <w:rsid w:val="005A3621"/>
    <w:rsid w:val="005A5CA0"/>
    <w:rsid w:val="005A7CB5"/>
    <w:rsid w:val="005B1ED4"/>
    <w:rsid w:val="005B1F38"/>
    <w:rsid w:val="005B3344"/>
    <w:rsid w:val="005B368F"/>
    <w:rsid w:val="005B5863"/>
    <w:rsid w:val="005B592A"/>
    <w:rsid w:val="005C0407"/>
    <w:rsid w:val="005C0AA6"/>
    <w:rsid w:val="005C115F"/>
    <w:rsid w:val="005C1383"/>
    <w:rsid w:val="005C19DA"/>
    <w:rsid w:val="005C2FFA"/>
    <w:rsid w:val="005C6505"/>
    <w:rsid w:val="005C6DE2"/>
    <w:rsid w:val="005C78AF"/>
    <w:rsid w:val="005D5CD7"/>
    <w:rsid w:val="005E0514"/>
    <w:rsid w:val="005E1291"/>
    <w:rsid w:val="005E29AA"/>
    <w:rsid w:val="005E547B"/>
    <w:rsid w:val="005E60C2"/>
    <w:rsid w:val="005F019B"/>
    <w:rsid w:val="006104F6"/>
    <w:rsid w:val="00610DB1"/>
    <w:rsid w:val="006127AE"/>
    <w:rsid w:val="006178E7"/>
    <w:rsid w:val="006232C0"/>
    <w:rsid w:val="00623B41"/>
    <w:rsid w:val="00624C03"/>
    <w:rsid w:val="00626BE1"/>
    <w:rsid w:val="006326D4"/>
    <w:rsid w:val="00635070"/>
    <w:rsid w:val="00636919"/>
    <w:rsid w:val="00636A06"/>
    <w:rsid w:val="00636C1A"/>
    <w:rsid w:val="006431DD"/>
    <w:rsid w:val="00644BE1"/>
    <w:rsid w:val="00646A92"/>
    <w:rsid w:val="0064772D"/>
    <w:rsid w:val="00647807"/>
    <w:rsid w:val="0065195C"/>
    <w:rsid w:val="0065218E"/>
    <w:rsid w:val="00654857"/>
    <w:rsid w:val="00661A1B"/>
    <w:rsid w:val="00661D17"/>
    <w:rsid w:val="00664E2A"/>
    <w:rsid w:val="006663C7"/>
    <w:rsid w:val="00667E10"/>
    <w:rsid w:val="00667F0D"/>
    <w:rsid w:val="00672BCF"/>
    <w:rsid w:val="00673CA6"/>
    <w:rsid w:val="00676ABC"/>
    <w:rsid w:val="00676ED5"/>
    <w:rsid w:val="00681D92"/>
    <w:rsid w:val="0068237E"/>
    <w:rsid w:val="0069282D"/>
    <w:rsid w:val="00695B18"/>
    <w:rsid w:val="006A0703"/>
    <w:rsid w:val="006A1624"/>
    <w:rsid w:val="006A1BCA"/>
    <w:rsid w:val="006A6323"/>
    <w:rsid w:val="006A6623"/>
    <w:rsid w:val="006A7795"/>
    <w:rsid w:val="006B3773"/>
    <w:rsid w:val="006B4813"/>
    <w:rsid w:val="006B617B"/>
    <w:rsid w:val="006B7CF0"/>
    <w:rsid w:val="006C0585"/>
    <w:rsid w:val="006C18E7"/>
    <w:rsid w:val="006C1976"/>
    <w:rsid w:val="006D2570"/>
    <w:rsid w:val="006D2F37"/>
    <w:rsid w:val="006D3013"/>
    <w:rsid w:val="006D69F7"/>
    <w:rsid w:val="006E1743"/>
    <w:rsid w:val="006E30C7"/>
    <w:rsid w:val="006F56BD"/>
    <w:rsid w:val="006F57C5"/>
    <w:rsid w:val="006F5F11"/>
    <w:rsid w:val="00700D48"/>
    <w:rsid w:val="007023B6"/>
    <w:rsid w:val="00705E61"/>
    <w:rsid w:val="007073BB"/>
    <w:rsid w:val="00711398"/>
    <w:rsid w:val="00713285"/>
    <w:rsid w:val="0071331E"/>
    <w:rsid w:val="007149ED"/>
    <w:rsid w:val="00714DD1"/>
    <w:rsid w:val="00720604"/>
    <w:rsid w:val="00721845"/>
    <w:rsid w:val="00724B5A"/>
    <w:rsid w:val="00730E77"/>
    <w:rsid w:val="007333E1"/>
    <w:rsid w:val="007337F3"/>
    <w:rsid w:val="00736B8A"/>
    <w:rsid w:val="007424C3"/>
    <w:rsid w:val="00742AA5"/>
    <w:rsid w:val="00746147"/>
    <w:rsid w:val="007476B2"/>
    <w:rsid w:val="00751C22"/>
    <w:rsid w:val="00752020"/>
    <w:rsid w:val="00752BFB"/>
    <w:rsid w:val="0075344B"/>
    <w:rsid w:val="007560B5"/>
    <w:rsid w:val="007561C2"/>
    <w:rsid w:val="007569A2"/>
    <w:rsid w:val="007662F3"/>
    <w:rsid w:val="00774668"/>
    <w:rsid w:val="00777FD3"/>
    <w:rsid w:val="00781DEE"/>
    <w:rsid w:val="00782B76"/>
    <w:rsid w:val="00792CE5"/>
    <w:rsid w:val="00794569"/>
    <w:rsid w:val="00795892"/>
    <w:rsid w:val="0079764F"/>
    <w:rsid w:val="007A03C3"/>
    <w:rsid w:val="007A085E"/>
    <w:rsid w:val="007A2E73"/>
    <w:rsid w:val="007A483A"/>
    <w:rsid w:val="007B184D"/>
    <w:rsid w:val="007B3377"/>
    <w:rsid w:val="007B62E3"/>
    <w:rsid w:val="007B69B8"/>
    <w:rsid w:val="007C300A"/>
    <w:rsid w:val="007C349D"/>
    <w:rsid w:val="007C4576"/>
    <w:rsid w:val="007D0E6A"/>
    <w:rsid w:val="007D2020"/>
    <w:rsid w:val="007D275E"/>
    <w:rsid w:val="007D5BAB"/>
    <w:rsid w:val="007E1B10"/>
    <w:rsid w:val="007E1B8D"/>
    <w:rsid w:val="007E689A"/>
    <w:rsid w:val="007E7CF2"/>
    <w:rsid w:val="007E7EC4"/>
    <w:rsid w:val="007F04BE"/>
    <w:rsid w:val="007F2ECF"/>
    <w:rsid w:val="007F33CE"/>
    <w:rsid w:val="007F7D9E"/>
    <w:rsid w:val="00801334"/>
    <w:rsid w:val="00803369"/>
    <w:rsid w:val="00803611"/>
    <w:rsid w:val="008039DC"/>
    <w:rsid w:val="00804A1B"/>
    <w:rsid w:val="00806DFA"/>
    <w:rsid w:val="00814835"/>
    <w:rsid w:val="00814BEC"/>
    <w:rsid w:val="008167E1"/>
    <w:rsid w:val="00821284"/>
    <w:rsid w:val="008238CA"/>
    <w:rsid w:val="00823949"/>
    <w:rsid w:val="00825C93"/>
    <w:rsid w:val="00827C57"/>
    <w:rsid w:val="00831924"/>
    <w:rsid w:val="00833883"/>
    <w:rsid w:val="00835DA3"/>
    <w:rsid w:val="00841552"/>
    <w:rsid w:val="00843DD2"/>
    <w:rsid w:val="00844253"/>
    <w:rsid w:val="0085692E"/>
    <w:rsid w:val="008640D0"/>
    <w:rsid w:val="00864B54"/>
    <w:rsid w:val="00867CC7"/>
    <w:rsid w:val="00870469"/>
    <w:rsid w:val="00876670"/>
    <w:rsid w:val="00876BCD"/>
    <w:rsid w:val="00877667"/>
    <w:rsid w:val="0088489A"/>
    <w:rsid w:val="00885157"/>
    <w:rsid w:val="00886943"/>
    <w:rsid w:val="00893939"/>
    <w:rsid w:val="00894165"/>
    <w:rsid w:val="008A33B6"/>
    <w:rsid w:val="008B6221"/>
    <w:rsid w:val="008B79AB"/>
    <w:rsid w:val="008C0725"/>
    <w:rsid w:val="008C4419"/>
    <w:rsid w:val="008C5E32"/>
    <w:rsid w:val="008C73F7"/>
    <w:rsid w:val="008C7630"/>
    <w:rsid w:val="008D42A5"/>
    <w:rsid w:val="008D4971"/>
    <w:rsid w:val="008E4FEE"/>
    <w:rsid w:val="008E599C"/>
    <w:rsid w:val="008F12DE"/>
    <w:rsid w:val="008F4EDF"/>
    <w:rsid w:val="008F5469"/>
    <w:rsid w:val="008F65C1"/>
    <w:rsid w:val="008F6B9D"/>
    <w:rsid w:val="009007A2"/>
    <w:rsid w:val="00901671"/>
    <w:rsid w:val="009046D6"/>
    <w:rsid w:val="00905CC0"/>
    <w:rsid w:val="00905CE6"/>
    <w:rsid w:val="00905DF4"/>
    <w:rsid w:val="00907010"/>
    <w:rsid w:val="009102D5"/>
    <w:rsid w:val="009121E0"/>
    <w:rsid w:val="009146C0"/>
    <w:rsid w:val="00915D6C"/>
    <w:rsid w:val="0092144B"/>
    <w:rsid w:val="00921E2B"/>
    <w:rsid w:val="009264F0"/>
    <w:rsid w:val="00927F43"/>
    <w:rsid w:val="009319F3"/>
    <w:rsid w:val="00932409"/>
    <w:rsid w:val="00934054"/>
    <w:rsid w:val="00935073"/>
    <w:rsid w:val="009412B3"/>
    <w:rsid w:val="00941B70"/>
    <w:rsid w:val="009422E9"/>
    <w:rsid w:val="00947844"/>
    <w:rsid w:val="00951E91"/>
    <w:rsid w:val="0095384D"/>
    <w:rsid w:val="0095765C"/>
    <w:rsid w:val="00964450"/>
    <w:rsid w:val="0097237A"/>
    <w:rsid w:val="00973354"/>
    <w:rsid w:val="009741E0"/>
    <w:rsid w:val="00974505"/>
    <w:rsid w:val="00974526"/>
    <w:rsid w:val="00976877"/>
    <w:rsid w:val="009910E9"/>
    <w:rsid w:val="0099569E"/>
    <w:rsid w:val="00995708"/>
    <w:rsid w:val="00997CFD"/>
    <w:rsid w:val="009A0AD2"/>
    <w:rsid w:val="009A66BC"/>
    <w:rsid w:val="009A6E26"/>
    <w:rsid w:val="009A6FEA"/>
    <w:rsid w:val="009B2C6B"/>
    <w:rsid w:val="009B3881"/>
    <w:rsid w:val="009B7CC6"/>
    <w:rsid w:val="009C2A6D"/>
    <w:rsid w:val="009C52E0"/>
    <w:rsid w:val="009C55B5"/>
    <w:rsid w:val="009C7D3F"/>
    <w:rsid w:val="009D76FE"/>
    <w:rsid w:val="009E2AB5"/>
    <w:rsid w:val="009E2BB3"/>
    <w:rsid w:val="009E624D"/>
    <w:rsid w:val="009E661F"/>
    <w:rsid w:val="009E7ECF"/>
    <w:rsid w:val="009F4357"/>
    <w:rsid w:val="00A009AB"/>
    <w:rsid w:val="00A0478D"/>
    <w:rsid w:val="00A067FC"/>
    <w:rsid w:val="00A06FC2"/>
    <w:rsid w:val="00A07986"/>
    <w:rsid w:val="00A13CF1"/>
    <w:rsid w:val="00A14924"/>
    <w:rsid w:val="00A15236"/>
    <w:rsid w:val="00A158B8"/>
    <w:rsid w:val="00A26043"/>
    <w:rsid w:val="00A331A4"/>
    <w:rsid w:val="00A41E3D"/>
    <w:rsid w:val="00A42D91"/>
    <w:rsid w:val="00A44601"/>
    <w:rsid w:val="00A471AC"/>
    <w:rsid w:val="00A4790E"/>
    <w:rsid w:val="00A52526"/>
    <w:rsid w:val="00A56A63"/>
    <w:rsid w:val="00A634E3"/>
    <w:rsid w:val="00A63E31"/>
    <w:rsid w:val="00A65D72"/>
    <w:rsid w:val="00A73C71"/>
    <w:rsid w:val="00A80B03"/>
    <w:rsid w:val="00A825FD"/>
    <w:rsid w:val="00A85A75"/>
    <w:rsid w:val="00A91BCE"/>
    <w:rsid w:val="00A94F98"/>
    <w:rsid w:val="00A95B0F"/>
    <w:rsid w:val="00A961C7"/>
    <w:rsid w:val="00A975EE"/>
    <w:rsid w:val="00AA21F2"/>
    <w:rsid w:val="00AB4119"/>
    <w:rsid w:val="00AB550E"/>
    <w:rsid w:val="00AB70ED"/>
    <w:rsid w:val="00AC33F2"/>
    <w:rsid w:val="00AC4455"/>
    <w:rsid w:val="00AC493E"/>
    <w:rsid w:val="00AC5405"/>
    <w:rsid w:val="00AC742D"/>
    <w:rsid w:val="00AD29B0"/>
    <w:rsid w:val="00AD377F"/>
    <w:rsid w:val="00AE20C4"/>
    <w:rsid w:val="00AE6DC3"/>
    <w:rsid w:val="00AF072B"/>
    <w:rsid w:val="00AF5125"/>
    <w:rsid w:val="00AF7AF7"/>
    <w:rsid w:val="00B00275"/>
    <w:rsid w:val="00B00FC3"/>
    <w:rsid w:val="00B03E70"/>
    <w:rsid w:val="00B0573D"/>
    <w:rsid w:val="00B15464"/>
    <w:rsid w:val="00B15720"/>
    <w:rsid w:val="00B16967"/>
    <w:rsid w:val="00B20026"/>
    <w:rsid w:val="00B25033"/>
    <w:rsid w:val="00B2641D"/>
    <w:rsid w:val="00B30913"/>
    <w:rsid w:val="00B35FBA"/>
    <w:rsid w:val="00B376B6"/>
    <w:rsid w:val="00B37ADA"/>
    <w:rsid w:val="00B40168"/>
    <w:rsid w:val="00B45BF3"/>
    <w:rsid w:val="00B52648"/>
    <w:rsid w:val="00B527D8"/>
    <w:rsid w:val="00B56E10"/>
    <w:rsid w:val="00B57D0E"/>
    <w:rsid w:val="00B637F1"/>
    <w:rsid w:val="00B63C52"/>
    <w:rsid w:val="00B66107"/>
    <w:rsid w:val="00B672DF"/>
    <w:rsid w:val="00B678CE"/>
    <w:rsid w:val="00B67EF2"/>
    <w:rsid w:val="00B72326"/>
    <w:rsid w:val="00B72CF3"/>
    <w:rsid w:val="00B748D7"/>
    <w:rsid w:val="00B8078C"/>
    <w:rsid w:val="00B80971"/>
    <w:rsid w:val="00B82AEE"/>
    <w:rsid w:val="00B835D0"/>
    <w:rsid w:val="00B860AF"/>
    <w:rsid w:val="00B877AD"/>
    <w:rsid w:val="00B926A5"/>
    <w:rsid w:val="00B94463"/>
    <w:rsid w:val="00B94A13"/>
    <w:rsid w:val="00B960BD"/>
    <w:rsid w:val="00BA3EC7"/>
    <w:rsid w:val="00BA5514"/>
    <w:rsid w:val="00BA647B"/>
    <w:rsid w:val="00BA730F"/>
    <w:rsid w:val="00BB13E4"/>
    <w:rsid w:val="00BB6831"/>
    <w:rsid w:val="00BC341E"/>
    <w:rsid w:val="00BC3566"/>
    <w:rsid w:val="00BC54CD"/>
    <w:rsid w:val="00BC579C"/>
    <w:rsid w:val="00BC60D4"/>
    <w:rsid w:val="00BC712E"/>
    <w:rsid w:val="00BD1775"/>
    <w:rsid w:val="00BD3296"/>
    <w:rsid w:val="00BD4557"/>
    <w:rsid w:val="00BD612C"/>
    <w:rsid w:val="00BD74F7"/>
    <w:rsid w:val="00BE0E0E"/>
    <w:rsid w:val="00BE2365"/>
    <w:rsid w:val="00BE5272"/>
    <w:rsid w:val="00BF1770"/>
    <w:rsid w:val="00BF4357"/>
    <w:rsid w:val="00BF5EF6"/>
    <w:rsid w:val="00BF7BC1"/>
    <w:rsid w:val="00C01878"/>
    <w:rsid w:val="00C035F8"/>
    <w:rsid w:val="00C036E0"/>
    <w:rsid w:val="00C0537B"/>
    <w:rsid w:val="00C06D79"/>
    <w:rsid w:val="00C10A85"/>
    <w:rsid w:val="00C1274D"/>
    <w:rsid w:val="00C12D97"/>
    <w:rsid w:val="00C17293"/>
    <w:rsid w:val="00C20738"/>
    <w:rsid w:val="00C209EA"/>
    <w:rsid w:val="00C2227A"/>
    <w:rsid w:val="00C2419A"/>
    <w:rsid w:val="00C26B0E"/>
    <w:rsid w:val="00C2763F"/>
    <w:rsid w:val="00C30906"/>
    <w:rsid w:val="00C40223"/>
    <w:rsid w:val="00C41A74"/>
    <w:rsid w:val="00C42443"/>
    <w:rsid w:val="00C51AAA"/>
    <w:rsid w:val="00C53864"/>
    <w:rsid w:val="00C5689F"/>
    <w:rsid w:val="00C57800"/>
    <w:rsid w:val="00C6091A"/>
    <w:rsid w:val="00C60E54"/>
    <w:rsid w:val="00C64B2D"/>
    <w:rsid w:val="00C64D6E"/>
    <w:rsid w:val="00C66927"/>
    <w:rsid w:val="00C71176"/>
    <w:rsid w:val="00C71E53"/>
    <w:rsid w:val="00C71F56"/>
    <w:rsid w:val="00C71F9A"/>
    <w:rsid w:val="00C9316D"/>
    <w:rsid w:val="00C96582"/>
    <w:rsid w:val="00CA1B65"/>
    <w:rsid w:val="00CA34AE"/>
    <w:rsid w:val="00CA68BB"/>
    <w:rsid w:val="00CA6B22"/>
    <w:rsid w:val="00CA72B5"/>
    <w:rsid w:val="00CB063D"/>
    <w:rsid w:val="00CB47CA"/>
    <w:rsid w:val="00CB5654"/>
    <w:rsid w:val="00CB6D3C"/>
    <w:rsid w:val="00CC0F83"/>
    <w:rsid w:val="00CC5644"/>
    <w:rsid w:val="00CC7A40"/>
    <w:rsid w:val="00CD16F9"/>
    <w:rsid w:val="00CD2F56"/>
    <w:rsid w:val="00CD3161"/>
    <w:rsid w:val="00CE293C"/>
    <w:rsid w:val="00CE394E"/>
    <w:rsid w:val="00CE47DD"/>
    <w:rsid w:val="00CE5676"/>
    <w:rsid w:val="00CE7699"/>
    <w:rsid w:val="00CE78B8"/>
    <w:rsid w:val="00CF516D"/>
    <w:rsid w:val="00CF5640"/>
    <w:rsid w:val="00D0056C"/>
    <w:rsid w:val="00D14F12"/>
    <w:rsid w:val="00D27D80"/>
    <w:rsid w:val="00D27EDA"/>
    <w:rsid w:val="00D31920"/>
    <w:rsid w:val="00D33F46"/>
    <w:rsid w:val="00D34BF6"/>
    <w:rsid w:val="00D36CC6"/>
    <w:rsid w:val="00D3754E"/>
    <w:rsid w:val="00D44AFC"/>
    <w:rsid w:val="00D469B1"/>
    <w:rsid w:val="00D5155F"/>
    <w:rsid w:val="00D51594"/>
    <w:rsid w:val="00D51BED"/>
    <w:rsid w:val="00D51C5B"/>
    <w:rsid w:val="00D52395"/>
    <w:rsid w:val="00D61DEC"/>
    <w:rsid w:val="00D639AF"/>
    <w:rsid w:val="00D65B37"/>
    <w:rsid w:val="00D73993"/>
    <w:rsid w:val="00D76AE6"/>
    <w:rsid w:val="00D76FEF"/>
    <w:rsid w:val="00D83117"/>
    <w:rsid w:val="00D8375B"/>
    <w:rsid w:val="00D83BE1"/>
    <w:rsid w:val="00D85EAC"/>
    <w:rsid w:val="00D87DD8"/>
    <w:rsid w:val="00D90080"/>
    <w:rsid w:val="00D92020"/>
    <w:rsid w:val="00D9728E"/>
    <w:rsid w:val="00DA6E33"/>
    <w:rsid w:val="00DB01EF"/>
    <w:rsid w:val="00DB2E10"/>
    <w:rsid w:val="00DB310D"/>
    <w:rsid w:val="00DB7A6C"/>
    <w:rsid w:val="00DC12ED"/>
    <w:rsid w:val="00DC3531"/>
    <w:rsid w:val="00DC5C65"/>
    <w:rsid w:val="00DC6345"/>
    <w:rsid w:val="00DD120A"/>
    <w:rsid w:val="00DD1CE9"/>
    <w:rsid w:val="00DD357C"/>
    <w:rsid w:val="00DD36F1"/>
    <w:rsid w:val="00DD777D"/>
    <w:rsid w:val="00DE5FA6"/>
    <w:rsid w:val="00DE6982"/>
    <w:rsid w:val="00DF0BA1"/>
    <w:rsid w:val="00DF1BC4"/>
    <w:rsid w:val="00DF2365"/>
    <w:rsid w:val="00DF3771"/>
    <w:rsid w:val="00DF41EB"/>
    <w:rsid w:val="00DF57AB"/>
    <w:rsid w:val="00DF6831"/>
    <w:rsid w:val="00E021B3"/>
    <w:rsid w:val="00E0672F"/>
    <w:rsid w:val="00E106A1"/>
    <w:rsid w:val="00E11F8C"/>
    <w:rsid w:val="00E209F4"/>
    <w:rsid w:val="00E27B5A"/>
    <w:rsid w:val="00E30A71"/>
    <w:rsid w:val="00E32038"/>
    <w:rsid w:val="00E34F7A"/>
    <w:rsid w:val="00E350A2"/>
    <w:rsid w:val="00E37D82"/>
    <w:rsid w:val="00E42382"/>
    <w:rsid w:val="00E42F29"/>
    <w:rsid w:val="00E45E3B"/>
    <w:rsid w:val="00E5046B"/>
    <w:rsid w:val="00E51A6D"/>
    <w:rsid w:val="00E52766"/>
    <w:rsid w:val="00E52F59"/>
    <w:rsid w:val="00E55EFB"/>
    <w:rsid w:val="00E60413"/>
    <w:rsid w:val="00E611E0"/>
    <w:rsid w:val="00E61899"/>
    <w:rsid w:val="00E61ADC"/>
    <w:rsid w:val="00E665AF"/>
    <w:rsid w:val="00E70B78"/>
    <w:rsid w:val="00E70DA9"/>
    <w:rsid w:val="00E717EA"/>
    <w:rsid w:val="00E72F11"/>
    <w:rsid w:val="00E75DAF"/>
    <w:rsid w:val="00E82F48"/>
    <w:rsid w:val="00E8376D"/>
    <w:rsid w:val="00E912C2"/>
    <w:rsid w:val="00E92B83"/>
    <w:rsid w:val="00EA01B0"/>
    <w:rsid w:val="00EA3279"/>
    <w:rsid w:val="00EA61BE"/>
    <w:rsid w:val="00EA6B91"/>
    <w:rsid w:val="00EA708E"/>
    <w:rsid w:val="00EC0A83"/>
    <w:rsid w:val="00EC0AFE"/>
    <w:rsid w:val="00EC3FE3"/>
    <w:rsid w:val="00EC5739"/>
    <w:rsid w:val="00ED1821"/>
    <w:rsid w:val="00ED3ECD"/>
    <w:rsid w:val="00EE4665"/>
    <w:rsid w:val="00EE4B4D"/>
    <w:rsid w:val="00EE59CB"/>
    <w:rsid w:val="00EE5AC8"/>
    <w:rsid w:val="00F03ECF"/>
    <w:rsid w:val="00F07895"/>
    <w:rsid w:val="00F11030"/>
    <w:rsid w:val="00F15DC5"/>
    <w:rsid w:val="00F16253"/>
    <w:rsid w:val="00F209A8"/>
    <w:rsid w:val="00F23365"/>
    <w:rsid w:val="00F2434B"/>
    <w:rsid w:val="00F2508D"/>
    <w:rsid w:val="00F26F45"/>
    <w:rsid w:val="00F340C0"/>
    <w:rsid w:val="00F40C17"/>
    <w:rsid w:val="00F422FB"/>
    <w:rsid w:val="00F42EF6"/>
    <w:rsid w:val="00F43914"/>
    <w:rsid w:val="00F554AB"/>
    <w:rsid w:val="00F5671B"/>
    <w:rsid w:val="00F579E1"/>
    <w:rsid w:val="00F63778"/>
    <w:rsid w:val="00F7007A"/>
    <w:rsid w:val="00F70244"/>
    <w:rsid w:val="00F749EA"/>
    <w:rsid w:val="00F74B1E"/>
    <w:rsid w:val="00F76425"/>
    <w:rsid w:val="00F767A7"/>
    <w:rsid w:val="00F80C94"/>
    <w:rsid w:val="00F84666"/>
    <w:rsid w:val="00F84D19"/>
    <w:rsid w:val="00F86676"/>
    <w:rsid w:val="00F86863"/>
    <w:rsid w:val="00F91120"/>
    <w:rsid w:val="00F91D00"/>
    <w:rsid w:val="00F97AC3"/>
    <w:rsid w:val="00FA66B5"/>
    <w:rsid w:val="00FA688D"/>
    <w:rsid w:val="00FB38F1"/>
    <w:rsid w:val="00FC7232"/>
    <w:rsid w:val="00FD356C"/>
    <w:rsid w:val="00FD6B3C"/>
    <w:rsid w:val="00FD6DEC"/>
    <w:rsid w:val="00FD75EC"/>
    <w:rsid w:val="00FD79D6"/>
    <w:rsid w:val="00FE37D4"/>
    <w:rsid w:val="00FF0F90"/>
    <w:rsid w:val="00FF2801"/>
    <w:rsid w:val="00FF2EE6"/>
    <w:rsid w:val="00FF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0A92"/>
  <w15:docId w15:val="{51CD47FD-48A3-4B60-8502-123AA28A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665"/>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EE4665"/>
    <w:pPr>
      <w:spacing w:before="100" w:beforeAutospacing="1" w:after="100" w:afterAutospacing="1" w:line="240" w:lineRule="auto"/>
      <w:outlineLvl w:val="2"/>
    </w:pPr>
    <w:rPr>
      <w:rFonts w:ascii="Times New Roman" w:eastAsia="Times New Roman" w:hAnsi="Times New Roman"/>
      <w:b/>
      <w:bCs/>
      <w:color w:val="11525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E4665"/>
    <w:rPr>
      <w:rFonts w:ascii="Times New Roman" w:eastAsia="Times New Roman" w:hAnsi="Times New Roman" w:cs="Times New Roman"/>
      <w:b/>
      <w:bCs/>
      <w:color w:val="115258"/>
      <w:sz w:val="27"/>
      <w:szCs w:val="27"/>
    </w:rPr>
  </w:style>
  <w:style w:type="character" w:styleId="Strong">
    <w:name w:val="Strong"/>
    <w:uiPriority w:val="22"/>
    <w:qFormat/>
    <w:rsid w:val="00EE4665"/>
    <w:rPr>
      <w:b/>
      <w:bCs/>
    </w:rPr>
  </w:style>
  <w:style w:type="paragraph" w:styleId="NormalWeb">
    <w:name w:val="Normal (Web)"/>
    <w:basedOn w:val="Normal"/>
    <w:uiPriority w:val="99"/>
    <w:unhideWhenUsed/>
    <w:rsid w:val="00EE4665"/>
    <w:pPr>
      <w:spacing w:after="432" w:line="240" w:lineRule="auto"/>
    </w:pPr>
    <w:rPr>
      <w:rFonts w:ascii="Times New Roman" w:eastAsia="Times New Roman" w:hAnsi="Times New Roman"/>
      <w:sz w:val="24"/>
      <w:szCs w:val="24"/>
    </w:rPr>
  </w:style>
  <w:style w:type="character" w:styleId="Emphasis">
    <w:name w:val="Emphasis"/>
    <w:uiPriority w:val="20"/>
    <w:qFormat/>
    <w:rsid w:val="00EE4665"/>
    <w:rPr>
      <w:i/>
      <w:iCs/>
    </w:rPr>
  </w:style>
  <w:style w:type="character" w:styleId="CommentReference">
    <w:name w:val="annotation reference"/>
    <w:uiPriority w:val="99"/>
    <w:semiHidden/>
    <w:unhideWhenUsed/>
    <w:rsid w:val="00EE4665"/>
    <w:rPr>
      <w:sz w:val="18"/>
      <w:szCs w:val="18"/>
    </w:rPr>
  </w:style>
  <w:style w:type="paragraph" w:styleId="CommentText">
    <w:name w:val="annotation text"/>
    <w:basedOn w:val="Normal"/>
    <w:link w:val="CommentTextChar"/>
    <w:uiPriority w:val="99"/>
    <w:unhideWhenUsed/>
    <w:rsid w:val="00EE4665"/>
    <w:rPr>
      <w:sz w:val="24"/>
      <w:szCs w:val="24"/>
    </w:rPr>
  </w:style>
  <w:style w:type="character" w:customStyle="1" w:styleId="CommentTextChar">
    <w:name w:val="Comment Text Char"/>
    <w:link w:val="CommentText"/>
    <w:uiPriority w:val="99"/>
    <w:rsid w:val="00EE4665"/>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EE4665"/>
    <w:rPr>
      <w:b/>
      <w:bCs/>
      <w:sz w:val="20"/>
      <w:szCs w:val="20"/>
    </w:rPr>
  </w:style>
  <w:style w:type="character" w:customStyle="1" w:styleId="CommentSubjectChar">
    <w:name w:val="Comment Subject Char"/>
    <w:link w:val="CommentSubject"/>
    <w:uiPriority w:val="99"/>
    <w:semiHidden/>
    <w:rsid w:val="00EE466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E466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EE4665"/>
    <w:rPr>
      <w:rFonts w:ascii="Lucida Grande" w:eastAsia="Calibri" w:hAnsi="Lucida Grande" w:cs="Lucida Grande"/>
      <w:sz w:val="18"/>
      <w:szCs w:val="18"/>
    </w:rPr>
  </w:style>
  <w:style w:type="paragraph" w:customStyle="1" w:styleId="Default">
    <w:name w:val="Default"/>
    <w:rsid w:val="00EE4665"/>
    <w:pPr>
      <w:autoSpaceDE w:val="0"/>
      <w:autoSpaceDN w:val="0"/>
      <w:adjustRightInd w:val="0"/>
      <w:spacing w:after="0" w:line="240" w:lineRule="auto"/>
    </w:pPr>
    <w:rPr>
      <w:rFonts w:ascii="Garamond" w:eastAsia="Calibri" w:hAnsi="Garamond" w:cs="Garamond"/>
      <w:color w:val="000000"/>
      <w:sz w:val="24"/>
      <w:szCs w:val="24"/>
    </w:rPr>
  </w:style>
  <w:style w:type="paragraph" w:styleId="ListParagraph">
    <w:name w:val="List Paragraph"/>
    <w:basedOn w:val="Normal"/>
    <w:uiPriority w:val="34"/>
    <w:qFormat/>
    <w:rsid w:val="00EE4665"/>
    <w:pPr>
      <w:ind w:left="720"/>
      <w:contextualSpacing/>
    </w:pPr>
  </w:style>
  <w:style w:type="table" w:styleId="TableGrid">
    <w:name w:val="Table Grid"/>
    <w:basedOn w:val="TableNormal"/>
    <w:uiPriority w:val="59"/>
    <w:rsid w:val="00EE466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1">
    <w:name w:val="List Table 2 - Accent 51"/>
    <w:basedOn w:val="TableNormal"/>
    <w:uiPriority w:val="47"/>
    <w:rsid w:val="00EE4665"/>
    <w:pPr>
      <w:spacing w:after="0" w:line="240" w:lineRule="auto"/>
    </w:pPr>
    <w:rPr>
      <w:rFonts w:ascii="Calibri" w:eastAsia="Calibri" w:hAnsi="Calibri" w:cs="Times New Roman"/>
      <w:sz w:val="20"/>
      <w:szCs w:val="20"/>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11">
    <w:name w:val="List Table 2 - Accent 11"/>
    <w:basedOn w:val="TableNormal"/>
    <w:uiPriority w:val="47"/>
    <w:rsid w:val="00EE4665"/>
    <w:pPr>
      <w:spacing w:after="0" w:line="240" w:lineRule="auto"/>
    </w:pPr>
    <w:rPr>
      <w:rFonts w:ascii="Calibri" w:eastAsia="Calibri" w:hAnsi="Calibri" w:cs="Times New Roman"/>
      <w:sz w:val="20"/>
      <w:szCs w:val="20"/>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21">
    <w:name w:val="List Table 21"/>
    <w:basedOn w:val="TableNormal"/>
    <w:uiPriority w:val="47"/>
    <w:rsid w:val="00EE4665"/>
    <w:pPr>
      <w:spacing w:after="0" w:line="240" w:lineRule="auto"/>
    </w:pPr>
    <w:rPr>
      <w:rFonts w:ascii="Calibri" w:eastAsia="Calibri" w:hAnsi="Calibri" w:cs="Times New Roman"/>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EE4665"/>
    <w:pPr>
      <w:spacing w:after="0" w:line="240" w:lineRule="auto"/>
    </w:pPr>
    <w:rPr>
      <w:rFonts w:ascii="Calibri" w:eastAsia="Calibri" w:hAnsi="Calibri"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1Light1">
    <w:name w:val="List Table 1 Light1"/>
    <w:basedOn w:val="TableNormal"/>
    <w:uiPriority w:val="46"/>
    <w:rsid w:val="00EE4665"/>
    <w:pPr>
      <w:spacing w:after="0" w:line="240" w:lineRule="auto"/>
    </w:pPr>
    <w:rPr>
      <w:rFonts w:ascii="Calibri" w:eastAsia="Calibri" w:hAnsi="Calibri" w:cs="Times New Roman"/>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EE4665"/>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E4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665"/>
    <w:rPr>
      <w:rFonts w:ascii="Calibri" w:eastAsia="Calibri" w:hAnsi="Calibri" w:cs="Times New Roman"/>
    </w:rPr>
  </w:style>
  <w:style w:type="paragraph" w:styleId="Footer">
    <w:name w:val="footer"/>
    <w:basedOn w:val="Normal"/>
    <w:link w:val="FooterChar"/>
    <w:uiPriority w:val="99"/>
    <w:unhideWhenUsed/>
    <w:rsid w:val="00EE4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665"/>
    <w:rPr>
      <w:rFonts w:ascii="Calibri" w:eastAsia="Calibri" w:hAnsi="Calibri" w:cs="Times New Roman"/>
    </w:rPr>
  </w:style>
  <w:style w:type="paragraph" w:customStyle="1" w:styleId="EndNoteBibliographyTitle">
    <w:name w:val="EndNote Bibliography Title"/>
    <w:basedOn w:val="Normal"/>
    <w:link w:val="EndNoteBibliographyTitleChar"/>
    <w:rsid w:val="00EE4665"/>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EE4665"/>
    <w:rPr>
      <w:rFonts w:ascii="Calibri" w:eastAsia="Calibri" w:hAnsi="Calibri" w:cs="Calibri"/>
      <w:noProof/>
    </w:rPr>
  </w:style>
  <w:style w:type="paragraph" w:customStyle="1" w:styleId="EndNoteBibliography">
    <w:name w:val="EndNote Bibliography"/>
    <w:basedOn w:val="Normal"/>
    <w:link w:val="EndNoteBibliographyChar"/>
    <w:rsid w:val="00EE4665"/>
    <w:pPr>
      <w:spacing w:line="240" w:lineRule="auto"/>
    </w:pPr>
    <w:rPr>
      <w:rFonts w:cs="Calibri"/>
      <w:noProof/>
    </w:rPr>
  </w:style>
  <w:style w:type="character" w:customStyle="1" w:styleId="EndNoteBibliographyChar">
    <w:name w:val="EndNote Bibliography Char"/>
    <w:basedOn w:val="DefaultParagraphFont"/>
    <w:link w:val="EndNoteBibliography"/>
    <w:rsid w:val="00EE4665"/>
    <w:rPr>
      <w:rFonts w:ascii="Calibri" w:eastAsia="Calibri" w:hAnsi="Calibri" w:cs="Calibri"/>
      <w:noProof/>
    </w:rPr>
  </w:style>
  <w:style w:type="paragraph" w:styleId="Revision">
    <w:name w:val="Revision"/>
    <w:hidden/>
    <w:uiPriority w:val="99"/>
    <w:semiHidden/>
    <w:rsid w:val="00EE4665"/>
    <w:pPr>
      <w:spacing w:after="0" w:line="240" w:lineRule="auto"/>
    </w:pPr>
    <w:rPr>
      <w:rFonts w:ascii="Calibri" w:eastAsia="Calibri" w:hAnsi="Calibri" w:cs="Times New Roman"/>
    </w:rPr>
  </w:style>
  <w:style w:type="paragraph" w:styleId="Subtitle">
    <w:name w:val="Subtitle"/>
    <w:basedOn w:val="Normal"/>
    <w:next w:val="Normal"/>
    <w:link w:val="SubtitleChar"/>
    <w:uiPriority w:val="11"/>
    <w:qFormat/>
    <w:rsid w:val="00A961C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961C7"/>
    <w:rPr>
      <w:rFonts w:eastAsiaTheme="minorEastAsia"/>
      <w:color w:val="5A5A5A" w:themeColor="text1" w:themeTint="A5"/>
      <w:spacing w:val="15"/>
    </w:rPr>
  </w:style>
  <w:style w:type="character" w:styleId="Hyperlink">
    <w:name w:val="Hyperlink"/>
    <w:basedOn w:val="DefaultParagraphFont"/>
    <w:uiPriority w:val="99"/>
    <w:unhideWhenUsed/>
    <w:rsid w:val="007A03C3"/>
    <w:rPr>
      <w:color w:val="0563C1" w:themeColor="hyperlink"/>
      <w:u w:val="single"/>
    </w:rPr>
  </w:style>
  <w:style w:type="character" w:customStyle="1" w:styleId="UnresolvedMention1">
    <w:name w:val="Unresolved Mention1"/>
    <w:basedOn w:val="DefaultParagraphFont"/>
    <w:uiPriority w:val="99"/>
    <w:semiHidden/>
    <w:unhideWhenUsed/>
    <w:rsid w:val="007A03C3"/>
    <w:rPr>
      <w:color w:val="808080"/>
      <w:shd w:val="clear" w:color="auto" w:fill="E6E6E6"/>
    </w:rPr>
  </w:style>
  <w:style w:type="character" w:styleId="LineNumber">
    <w:name w:val="line number"/>
    <w:basedOn w:val="DefaultParagraphFont"/>
    <w:uiPriority w:val="99"/>
    <w:semiHidden/>
    <w:unhideWhenUsed/>
    <w:rsid w:val="00661A1B"/>
  </w:style>
  <w:style w:type="character" w:customStyle="1" w:styleId="UnresolvedMention2">
    <w:name w:val="Unresolved Mention2"/>
    <w:basedOn w:val="DefaultParagraphFont"/>
    <w:uiPriority w:val="99"/>
    <w:semiHidden/>
    <w:unhideWhenUsed/>
    <w:rsid w:val="00363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02872">
      <w:bodyDiv w:val="1"/>
      <w:marLeft w:val="0"/>
      <w:marRight w:val="0"/>
      <w:marTop w:val="0"/>
      <w:marBottom w:val="0"/>
      <w:divBdr>
        <w:top w:val="none" w:sz="0" w:space="0" w:color="auto"/>
        <w:left w:val="none" w:sz="0" w:space="0" w:color="auto"/>
        <w:bottom w:val="none" w:sz="0" w:space="0" w:color="auto"/>
        <w:right w:val="none" w:sz="0" w:space="0" w:color="auto"/>
      </w:divBdr>
    </w:div>
    <w:div w:id="1026710244">
      <w:bodyDiv w:val="1"/>
      <w:marLeft w:val="0"/>
      <w:marRight w:val="0"/>
      <w:marTop w:val="0"/>
      <w:marBottom w:val="0"/>
      <w:divBdr>
        <w:top w:val="none" w:sz="0" w:space="0" w:color="auto"/>
        <w:left w:val="none" w:sz="0" w:space="0" w:color="auto"/>
        <w:bottom w:val="none" w:sz="0" w:space="0" w:color="auto"/>
        <w:right w:val="none" w:sz="0" w:space="0" w:color="auto"/>
      </w:divBdr>
    </w:div>
    <w:div w:id="1265923305">
      <w:bodyDiv w:val="1"/>
      <w:marLeft w:val="0"/>
      <w:marRight w:val="0"/>
      <w:marTop w:val="0"/>
      <w:marBottom w:val="0"/>
      <w:divBdr>
        <w:top w:val="none" w:sz="0" w:space="0" w:color="auto"/>
        <w:left w:val="none" w:sz="0" w:space="0" w:color="auto"/>
        <w:bottom w:val="none" w:sz="0" w:space="0" w:color="auto"/>
        <w:right w:val="none" w:sz="0" w:space="0" w:color="auto"/>
      </w:divBdr>
    </w:div>
    <w:div w:id="1481653733">
      <w:bodyDiv w:val="1"/>
      <w:marLeft w:val="0"/>
      <w:marRight w:val="0"/>
      <w:marTop w:val="0"/>
      <w:marBottom w:val="0"/>
      <w:divBdr>
        <w:top w:val="none" w:sz="0" w:space="0" w:color="auto"/>
        <w:left w:val="none" w:sz="0" w:space="0" w:color="auto"/>
        <w:bottom w:val="none" w:sz="0" w:space="0" w:color="auto"/>
        <w:right w:val="none" w:sz="0" w:space="0" w:color="auto"/>
      </w:divBdr>
    </w:div>
    <w:div w:id="179093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3E1F79A543407E8786D488260D5621"/>
        <w:category>
          <w:name w:val="General"/>
          <w:gallery w:val="placeholder"/>
        </w:category>
        <w:types>
          <w:type w:val="bbPlcHdr"/>
        </w:types>
        <w:behaviors>
          <w:behavior w:val="content"/>
        </w:behaviors>
        <w:guid w:val="{7BBF735A-21EB-48F6-9332-C447F564194E}"/>
      </w:docPartPr>
      <w:docPartBody>
        <w:p w:rsidR="00000000" w:rsidRDefault="00D64552" w:rsidP="00D64552">
          <w:pPr>
            <w:pStyle w:val="5C3E1F79A543407E8786D488260D562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52"/>
    <w:rsid w:val="008F6D0F"/>
    <w:rsid w:val="00D6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3E1F79A543407E8786D488260D5621">
    <w:name w:val="5C3E1F79A543407E8786D488260D5621"/>
    <w:rsid w:val="00D64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AF390-1F32-4820-AB0F-E7189575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Marrus</dc:creator>
  <cp:lastModifiedBy>Natasha Marrus</cp:lastModifiedBy>
  <cp:revision>7</cp:revision>
  <cp:lastPrinted>2018-03-16T11:20:00Z</cp:lastPrinted>
  <dcterms:created xsi:type="dcterms:W3CDTF">2018-10-10T14:30:00Z</dcterms:created>
  <dcterms:modified xsi:type="dcterms:W3CDTF">2018-10-10T14:38:00Z</dcterms:modified>
</cp:coreProperties>
</file>