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A" w:rsidRDefault="00170CE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72400" cy="3200400"/>
            <wp:effectExtent l="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B00FA" w:rsidSect="00170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70CE2"/>
    <w:rsid w:val="00170CE2"/>
    <w:rsid w:val="00EB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sde-fs2.csde.washington.edu\net\Project\Nutrition\NOPRN\NOPREN%202011\Rural%20Food%20Access\Project-Concept%20Mapping\Data%20Analysis\Cluster%20Ratings%20by%20Role%20-%20Graph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Region!$A$12</c:f>
              <c:strCache>
                <c:ptCount val="1"/>
                <c:pt idx="0">
                  <c:v>Data and Policy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strRef>
              <c:f>Region!$B$11:$D$11</c:f>
              <c:strCache>
                <c:ptCount val="3"/>
                <c:pt idx="0">
                  <c:v>Extension (n=10)</c:v>
                </c:pt>
                <c:pt idx="1">
                  <c:v>Non-Extension Researchers (n=29)</c:v>
                </c:pt>
                <c:pt idx="2">
                  <c:v>Non-Extension Program Directors &amp; Advocates (n=23)</c:v>
                </c:pt>
              </c:strCache>
            </c:strRef>
          </c:cat>
          <c:val>
            <c:numRef>
              <c:f>Region!$B$12:$D$12</c:f>
              <c:numCache>
                <c:formatCode>General</c:formatCode>
                <c:ptCount val="3"/>
                <c:pt idx="0">
                  <c:v>3.03</c:v>
                </c:pt>
                <c:pt idx="1">
                  <c:v>2.79</c:v>
                </c:pt>
                <c:pt idx="2">
                  <c:v>2.92</c:v>
                </c:pt>
              </c:numCache>
            </c:numRef>
          </c:val>
        </c:ser>
        <c:ser>
          <c:idx val="1"/>
          <c:order val="1"/>
          <c:tx>
            <c:strRef>
              <c:f>Region!$A$13</c:f>
              <c:strCache>
                <c:ptCount val="1"/>
                <c:pt idx="0">
                  <c:v>Food and Nutrition Assistance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dash"/>
            </a:ln>
          </c:spPr>
          <c:marker>
            <c:symbol val="none"/>
          </c:marker>
          <c:cat>
            <c:strRef>
              <c:f>Region!$B$11:$D$11</c:f>
              <c:strCache>
                <c:ptCount val="3"/>
                <c:pt idx="0">
                  <c:v>Extension (n=10)</c:v>
                </c:pt>
                <c:pt idx="1">
                  <c:v>Non-Extension Researchers (n=29)</c:v>
                </c:pt>
                <c:pt idx="2">
                  <c:v>Non-Extension Program Directors &amp; Advocates (n=23)</c:v>
                </c:pt>
              </c:strCache>
            </c:strRef>
          </c:cat>
          <c:val>
            <c:numRef>
              <c:f>Region!$B$13:$D$13</c:f>
              <c:numCache>
                <c:formatCode>General</c:formatCode>
                <c:ptCount val="3"/>
                <c:pt idx="0">
                  <c:v>2.96</c:v>
                </c:pt>
                <c:pt idx="1">
                  <c:v>2.67</c:v>
                </c:pt>
                <c:pt idx="2">
                  <c:v>2.9699999999999998</c:v>
                </c:pt>
              </c:numCache>
            </c:numRef>
          </c:val>
        </c:ser>
        <c:ser>
          <c:idx val="2"/>
          <c:order val="2"/>
          <c:tx>
            <c:strRef>
              <c:f>Region!$A$14</c:f>
              <c:strCache>
                <c:ptCount val="1"/>
                <c:pt idx="0">
                  <c:v>Consumer Knowledge, Attitudes and Behavior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dashDot"/>
            </a:ln>
          </c:spPr>
          <c:marker>
            <c:symbol val="none"/>
          </c:marker>
          <c:cat>
            <c:strRef>
              <c:f>Region!$B$11:$D$11</c:f>
              <c:strCache>
                <c:ptCount val="3"/>
                <c:pt idx="0">
                  <c:v>Extension (n=10)</c:v>
                </c:pt>
                <c:pt idx="1">
                  <c:v>Non-Extension Researchers (n=29)</c:v>
                </c:pt>
                <c:pt idx="2">
                  <c:v>Non-Extension Program Directors &amp; Advocates (n=23)</c:v>
                </c:pt>
              </c:strCache>
            </c:strRef>
          </c:cat>
          <c:val>
            <c:numRef>
              <c:f>Region!$B$14:$D$14</c:f>
              <c:numCache>
                <c:formatCode>General</c:formatCode>
                <c:ptCount val="3"/>
                <c:pt idx="0">
                  <c:v>2.7</c:v>
                </c:pt>
                <c:pt idx="1">
                  <c:v>2.17</c:v>
                </c:pt>
                <c:pt idx="2">
                  <c:v>2.5</c:v>
                </c:pt>
              </c:numCache>
            </c:numRef>
          </c:val>
        </c:ser>
        <c:ser>
          <c:idx val="3"/>
          <c:order val="3"/>
          <c:tx>
            <c:strRef>
              <c:f>Region!$A$15</c:f>
              <c:strCache>
                <c:ptCount val="1"/>
                <c:pt idx="0">
                  <c:v>Healthy Food Retail and Availability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strRef>
              <c:f>Region!$B$11:$D$11</c:f>
              <c:strCache>
                <c:ptCount val="3"/>
                <c:pt idx="0">
                  <c:v>Extension (n=10)</c:v>
                </c:pt>
                <c:pt idx="1">
                  <c:v>Non-Extension Researchers (n=29)</c:v>
                </c:pt>
                <c:pt idx="2">
                  <c:v>Non-Extension Program Directors &amp; Advocates (n=23)</c:v>
                </c:pt>
              </c:strCache>
            </c:strRef>
          </c:cat>
          <c:val>
            <c:numRef>
              <c:f>Region!$B$15:$D$15</c:f>
              <c:numCache>
                <c:formatCode>General</c:formatCode>
                <c:ptCount val="3"/>
                <c:pt idx="0">
                  <c:v>2.68</c:v>
                </c:pt>
                <c:pt idx="1">
                  <c:v>2.58</c:v>
                </c:pt>
                <c:pt idx="2">
                  <c:v>2.69</c:v>
                </c:pt>
              </c:numCache>
            </c:numRef>
          </c:val>
        </c:ser>
        <c:ser>
          <c:idx val="4"/>
          <c:order val="4"/>
          <c:tx>
            <c:strRef>
              <c:f>Region!$A$16</c:f>
              <c:strCache>
                <c:ptCount val="1"/>
                <c:pt idx="0">
                  <c:v>Food Production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lgDash"/>
            </a:ln>
          </c:spPr>
          <c:marker>
            <c:symbol val="none"/>
          </c:marker>
          <c:cat>
            <c:strRef>
              <c:f>Region!$B$11:$D$11</c:f>
              <c:strCache>
                <c:ptCount val="3"/>
                <c:pt idx="0">
                  <c:v>Extension (n=10)</c:v>
                </c:pt>
                <c:pt idx="1">
                  <c:v>Non-Extension Researchers (n=29)</c:v>
                </c:pt>
                <c:pt idx="2">
                  <c:v>Non-Extension Program Directors &amp; Advocates (n=23)</c:v>
                </c:pt>
              </c:strCache>
            </c:strRef>
          </c:cat>
          <c:val>
            <c:numRef>
              <c:f>Region!$B$16:$D$16</c:f>
              <c:numCache>
                <c:formatCode>General</c:formatCode>
                <c:ptCount val="3"/>
                <c:pt idx="0">
                  <c:v>2.4499999999999997</c:v>
                </c:pt>
                <c:pt idx="1">
                  <c:v>2.19</c:v>
                </c:pt>
                <c:pt idx="2">
                  <c:v>2.3499999999999988</c:v>
                </c:pt>
              </c:numCache>
            </c:numRef>
          </c:val>
        </c:ser>
        <c:marker val="1"/>
        <c:axId val="196875008"/>
        <c:axId val="196876544"/>
      </c:lineChart>
      <c:catAx>
        <c:axId val="19687500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96876544"/>
        <c:crosses val="autoZero"/>
        <c:auto val="1"/>
        <c:lblAlgn val="ctr"/>
        <c:lblOffset val="100"/>
      </c:catAx>
      <c:valAx>
        <c:axId val="196876544"/>
        <c:scaling>
          <c:orientation val="minMax"/>
          <c:max val="3.25"/>
          <c:min val="2"/>
        </c:scaling>
        <c:axPos val="l"/>
        <c:numFmt formatCode="General" sourceLinked="1"/>
        <c:tickLblPos val="nextTo"/>
        <c:crossAx val="196875008"/>
        <c:crosses val="autoZero"/>
        <c:crossBetween val="midCat"/>
        <c:majorUnit val="0.25"/>
      </c:valAx>
    </c:plotArea>
    <c:legend>
      <c:legendPos val="r"/>
      <c:layout/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</dc:creator>
  <cp:keywords/>
  <dc:description/>
  <cp:lastModifiedBy>Emilee</cp:lastModifiedBy>
  <cp:revision>1</cp:revision>
  <dcterms:created xsi:type="dcterms:W3CDTF">2014-01-12T01:55:00Z</dcterms:created>
  <dcterms:modified xsi:type="dcterms:W3CDTF">2014-01-12T01:56:00Z</dcterms:modified>
</cp:coreProperties>
</file>