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8D" w:rsidRDefault="00FF248D" w:rsidP="00276E41">
      <w:pPr>
        <w:spacing w:line="480" w:lineRule="auto"/>
        <w:jc w:val="both"/>
        <w:rPr>
          <w:b/>
        </w:rPr>
      </w:pPr>
      <w:bookmarkStart w:id="0" w:name="_GoBack"/>
      <w:bookmarkEnd w:id="0"/>
    </w:p>
    <w:p w:rsidR="00FF248D" w:rsidRDefault="00FF248D" w:rsidP="00276E41">
      <w:pPr>
        <w:spacing w:line="480" w:lineRule="auto"/>
        <w:jc w:val="both"/>
        <w:rPr>
          <w:b/>
        </w:rPr>
      </w:pPr>
      <w:r>
        <w:rPr>
          <w:b/>
        </w:rPr>
        <w:t>Additional file 1</w:t>
      </w:r>
    </w:p>
    <w:p w:rsidR="00C010A3" w:rsidRDefault="00E23585" w:rsidP="00276E41">
      <w:pPr>
        <w:spacing w:line="480" w:lineRule="auto"/>
        <w:jc w:val="both"/>
        <w:rPr>
          <w:b/>
        </w:rPr>
      </w:pPr>
      <w:r>
        <w:rPr>
          <w:b/>
        </w:rPr>
        <w:t xml:space="preserve">Supporting information </w:t>
      </w:r>
    </w:p>
    <w:p w:rsidR="00E23585" w:rsidRDefault="00E23585" w:rsidP="00276E41">
      <w:pPr>
        <w:spacing w:line="480" w:lineRule="auto"/>
        <w:jc w:val="both"/>
        <w:rPr>
          <w:b/>
        </w:rPr>
      </w:pPr>
      <w:r>
        <w:rPr>
          <w:b/>
        </w:rPr>
        <w:t xml:space="preserve">S.1. Error estimation </w:t>
      </w:r>
      <w:r w:rsidR="000C7592">
        <w:rPr>
          <w:b/>
        </w:rPr>
        <w:t>for PCCA size and concentration</w:t>
      </w:r>
    </w:p>
    <w:p w:rsidR="002E5DBA" w:rsidRDefault="006C0E02" w:rsidP="00276E41">
      <w:pPr>
        <w:spacing w:line="480" w:lineRule="auto"/>
        <w:ind w:firstLine="720"/>
        <w:jc w:val="both"/>
      </w:pPr>
      <w:r>
        <w:t>E</w:t>
      </w:r>
      <w:r w:rsidR="00E23585">
        <w:t xml:space="preserve">ach </w:t>
      </w:r>
      <w:r w:rsidR="00436D21">
        <w:t xml:space="preserve">individual </w:t>
      </w:r>
      <w:r w:rsidR="003052D7">
        <w:t xml:space="preserve">PCCA </w:t>
      </w:r>
      <w:r w:rsidR="00E23585">
        <w:t>sample was measured four times to give a representative size distribution and concentration</w:t>
      </w:r>
      <w:r w:rsidR="008760B2">
        <w:t>,</w:t>
      </w:r>
      <w:r w:rsidR="00E23585">
        <w:t xml:space="preserve"> each with an associated standard deviation (intra-sample SD). This was repeated for three independent vials of PCCAs</w:t>
      </w:r>
      <w:r w:rsidR="008760B2">
        <w:t xml:space="preserve"> giving an overall average size and concentration with an associated standard deviation (inter-vial SD)</w:t>
      </w:r>
      <w:r w:rsidR="00E23585">
        <w:t xml:space="preserve">. </w:t>
      </w:r>
      <w:r w:rsidR="008760B2">
        <w:t>The intra-sample SD for both size and concentration was found to be greater than the correspondi</w:t>
      </w:r>
      <w:r w:rsidR="002E1CDF">
        <w:t>ng inter-vial SDs (</w:t>
      </w:r>
      <w:r w:rsidR="008760B2">
        <w:t>Table S1</w:t>
      </w:r>
      <w:r w:rsidR="002E1CDF">
        <w:t>)</w:t>
      </w:r>
      <w:r w:rsidR="008760B2">
        <w:t xml:space="preserve">. </w:t>
      </w:r>
      <w:r w:rsidR="003052D7">
        <w:t xml:space="preserve">As such, slight variations between vials were negligible given the uncertainty associated with measurement, and vials used throughout the experiments were assumed to be identical and </w:t>
      </w:r>
      <w:r w:rsidR="002E1CDF">
        <w:t xml:space="preserve">to be </w:t>
      </w:r>
      <w:r w:rsidR="003052D7">
        <w:t xml:space="preserve">characterized by the size distribution and concentration presented. </w:t>
      </w:r>
      <w:r w:rsidR="009A1F47">
        <w:t>In the body of this text, average size and concentration was reported with their associated intra-sample SDs.</w:t>
      </w:r>
    </w:p>
    <w:p w:rsidR="002E5DBA" w:rsidRPr="002E5DBA" w:rsidRDefault="002E5DBA" w:rsidP="00276E41">
      <w:pPr>
        <w:spacing w:line="480" w:lineRule="auto"/>
        <w:jc w:val="both"/>
      </w:pPr>
      <w:r>
        <w:rPr>
          <w:b/>
        </w:rPr>
        <w:t xml:space="preserve">Table S1: </w:t>
      </w:r>
      <w:r>
        <w:t>Error estimation for PCCA size and concentration.</w:t>
      </w:r>
    </w:p>
    <w:tbl>
      <w:tblPr>
        <w:tblStyle w:val="LightShading"/>
        <w:tblW w:w="0" w:type="auto"/>
        <w:tblLook w:val="04A0"/>
      </w:tblPr>
      <w:tblGrid>
        <w:gridCol w:w="3192"/>
        <w:gridCol w:w="3192"/>
        <w:gridCol w:w="3192"/>
      </w:tblGrid>
      <w:tr w:rsidR="003052D7" w:rsidTr="00276E41">
        <w:trPr>
          <w:cnfStyle w:val="100000000000"/>
          <w:trHeight w:val="295"/>
        </w:trPr>
        <w:tc>
          <w:tcPr>
            <w:cnfStyle w:val="001000000000"/>
            <w:tcW w:w="3192" w:type="dxa"/>
          </w:tcPr>
          <w:p w:rsidR="003052D7" w:rsidRPr="00276E41" w:rsidRDefault="003052D7" w:rsidP="00276E41">
            <w:pPr>
              <w:jc w:val="center"/>
              <w:rPr>
                <w:color w:val="000000" w:themeColor="text1"/>
              </w:rPr>
            </w:pPr>
            <w:r w:rsidRPr="00276E41">
              <w:rPr>
                <w:color w:val="000000" w:themeColor="text1"/>
              </w:rPr>
              <w:t>Characteristic</w:t>
            </w:r>
          </w:p>
        </w:tc>
        <w:tc>
          <w:tcPr>
            <w:tcW w:w="3192" w:type="dxa"/>
          </w:tcPr>
          <w:p w:rsidR="003052D7" w:rsidRPr="00276E41" w:rsidRDefault="009A1F47" w:rsidP="00276E41">
            <w:pPr>
              <w:jc w:val="center"/>
              <w:cnfStyle w:val="100000000000"/>
              <w:rPr>
                <w:color w:val="000000" w:themeColor="text1"/>
              </w:rPr>
            </w:pPr>
            <w:r w:rsidRPr="00276E41">
              <w:rPr>
                <w:color w:val="000000" w:themeColor="text1"/>
              </w:rPr>
              <w:t>I</w:t>
            </w:r>
            <w:r w:rsidR="003052D7" w:rsidRPr="00276E41">
              <w:rPr>
                <w:color w:val="000000" w:themeColor="text1"/>
              </w:rPr>
              <w:t>ntra-sample SD</w:t>
            </w:r>
          </w:p>
        </w:tc>
        <w:tc>
          <w:tcPr>
            <w:tcW w:w="3192" w:type="dxa"/>
          </w:tcPr>
          <w:p w:rsidR="003052D7" w:rsidRPr="00276E41" w:rsidRDefault="003052D7" w:rsidP="00276E41">
            <w:pPr>
              <w:jc w:val="center"/>
              <w:cnfStyle w:val="100000000000"/>
              <w:rPr>
                <w:color w:val="000000" w:themeColor="text1"/>
              </w:rPr>
            </w:pPr>
            <w:r w:rsidRPr="00276E41">
              <w:rPr>
                <w:color w:val="000000" w:themeColor="text1"/>
              </w:rPr>
              <w:t>Inter-vial SD</w:t>
            </w:r>
          </w:p>
        </w:tc>
      </w:tr>
      <w:tr w:rsidR="003052D7" w:rsidTr="00DF137F">
        <w:trPr>
          <w:cnfStyle w:val="000000100000"/>
        </w:trPr>
        <w:tc>
          <w:tcPr>
            <w:cnfStyle w:val="001000000000"/>
            <w:tcW w:w="3192" w:type="dxa"/>
          </w:tcPr>
          <w:p w:rsidR="003052D7" w:rsidRPr="00276E41" w:rsidRDefault="003052D7" w:rsidP="00276E41">
            <w:pPr>
              <w:jc w:val="center"/>
              <w:rPr>
                <w:b w:val="0"/>
              </w:rPr>
            </w:pPr>
            <w:r w:rsidRPr="00276E41">
              <w:rPr>
                <w:b w:val="0"/>
              </w:rPr>
              <w:t>Size (nm)</w:t>
            </w:r>
          </w:p>
        </w:tc>
        <w:tc>
          <w:tcPr>
            <w:tcW w:w="3192" w:type="dxa"/>
          </w:tcPr>
          <w:p w:rsidR="003052D7" w:rsidRDefault="002E5DBA" w:rsidP="00276E41">
            <w:pPr>
              <w:jc w:val="center"/>
              <w:cnfStyle w:val="000000100000"/>
            </w:pPr>
            <w:r>
              <w:t>± 13</w:t>
            </w:r>
          </w:p>
        </w:tc>
        <w:tc>
          <w:tcPr>
            <w:tcW w:w="3192" w:type="dxa"/>
          </w:tcPr>
          <w:p w:rsidR="003052D7" w:rsidRDefault="002E5DBA" w:rsidP="00276E41">
            <w:pPr>
              <w:jc w:val="center"/>
              <w:cnfStyle w:val="000000100000"/>
            </w:pPr>
            <w:r>
              <w:t>± 3.5</w:t>
            </w:r>
          </w:p>
        </w:tc>
      </w:tr>
      <w:tr w:rsidR="003052D7" w:rsidTr="00DF137F">
        <w:tc>
          <w:tcPr>
            <w:cnfStyle w:val="001000000000"/>
            <w:tcW w:w="3192" w:type="dxa"/>
          </w:tcPr>
          <w:p w:rsidR="003052D7" w:rsidRPr="00276E41" w:rsidRDefault="003052D7" w:rsidP="00276E41">
            <w:pPr>
              <w:jc w:val="center"/>
              <w:rPr>
                <w:b w:val="0"/>
              </w:rPr>
            </w:pPr>
            <w:r w:rsidRPr="00276E41">
              <w:rPr>
                <w:b w:val="0"/>
              </w:rPr>
              <w:t>Concentration (#/mL)</w:t>
            </w:r>
          </w:p>
        </w:tc>
        <w:tc>
          <w:tcPr>
            <w:tcW w:w="3192" w:type="dxa"/>
          </w:tcPr>
          <w:p w:rsidR="003052D7" w:rsidRDefault="002E5DBA" w:rsidP="00276E41">
            <w:pPr>
              <w:jc w:val="center"/>
              <w:cnfStyle w:val="000000000000"/>
            </w:pPr>
            <w:r>
              <w:t>± 1.2</w:t>
            </w:r>
            <w:r>
              <w:rPr>
                <w:rFonts w:ascii="Cambria" w:hAnsi="Cambria"/>
              </w:rPr>
              <w:t>×</w:t>
            </w:r>
            <w:r>
              <w:t>10</w:t>
            </w:r>
            <w:r>
              <w:rPr>
                <w:vertAlign w:val="superscript"/>
              </w:rPr>
              <w:t>11</w:t>
            </w:r>
          </w:p>
        </w:tc>
        <w:tc>
          <w:tcPr>
            <w:tcW w:w="3192" w:type="dxa"/>
          </w:tcPr>
          <w:p w:rsidR="003052D7" w:rsidRDefault="002E5DBA" w:rsidP="00276E41">
            <w:pPr>
              <w:jc w:val="center"/>
              <w:cnfStyle w:val="000000000000"/>
            </w:pPr>
            <w:r>
              <w:t>± 0.67</w:t>
            </w:r>
            <w:r>
              <w:rPr>
                <w:rFonts w:ascii="Cambria" w:hAnsi="Cambria"/>
              </w:rPr>
              <w:t>×</w:t>
            </w:r>
            <w:r>
              <w:t>10</w:t>
            </w:r>
            <w:r>
              <w:rPr>
                <w:vertAlign w:val="superscript"/>
              </w:rPr>
              <w:t>11</w:t>
            </w:r>
          </w:p>
        </w:tc>
      </w:tr>
    </w:tbl>
    <w:p w:rsidR="003052D7" w:rsidRDefault="003052D7" w:rsidP="00276E41">
      <w:pPr>
        <w:spacing w:line="480" w:lineRule="auto"/>
        <w:jc w:val="both"/>
      </w:pPr>
    </w:p>
    <w:p w:rsidR="00910821" w:rsidRDefault="00910821" w:rsidP="00276E41">
      <w:pPr>
        <w:spacing w:line="480" w:lineRule="auto"/>
        <w:jc w:val="both"/>
        <w:rPr>
          <w:b/>
        </w:rPr>
      </w:pPr>
      <w:r>
        <w:rPr>
          <w:b/>
        </w:rPr>
        <w:t>S.2 Details regarding flow cytometry analysis</w:t>
      </w:r>
    </w:p>
    <w:p w:rsidR="00F72FAE" w:rsidRDefault="002E1CDF" w:rsidP="00276E41">
      <w:pPr>
        <w:spacing w:line="480" w:lineRule="auto"/>
        <w:jc w:val="both"/>
      </w:pPr>
      <w:r>
        <w:tab/>
        <w:t xml:space="preserve">All flow cytometry experiments were run using an LSRFortessa cytometer equipped with 488 nm </w:t>
      </w:r>
      <w:r w:rsidR="006B52DA">
        <w:t xml:space="preserve">and 561 nm </w:t>
      </w:r>
      <w:r>
        <w:t>excitation lasers</w:t>
      </w:r>
      <w:r w:rsidR="006B52DA">
        <w:t xml:space="preserve"> to detect calcein and propidium iodide </w:t>
      </w:r>
      <w:r w:rsidR="00DB32AD">
        <w:t xml:space="preserve">(PI) </w:t>
      </w:r>
      <w:r w:rsidR="006B52DA">
        <w:t>fluorescence, respectively</w:t>
      </w:r>
      <w:r>
        <w:t xml:space="preserve"> (</w:t>
      </w:r>
      <w:r w:rsidRPr="003F6906">
        <w:t>Becton Dickinson</w:t>
      </w:r>
      <w:r>
        <w:t>, Franklin Lakes, NJ, USA). Detector voltages (gains) were kept consistent throughout the experiment</w:t>
      </w:r>
      <w:r w:rsidR="006B52DA">
        <w:t>s and are presented in Table S2</w:t>
      </w:r>
      <w:r>
        <w:t xml:space="preserve">. </w:t>
      </w:r>
    </w:p>
    <w:p w:rsidR="00F72FAE" w:rsidRPr="00F72FAE" w:rsidRDefault="00F72FAE" w:rsidP="00276E41">
      <w:pPr>
        <w:spacing w:line="480" w:lineRule="auto"/>
        <w:jc w:val="both"/>
      </w:pPr>
      <w:r>
        <w:rPr>
          <w:b/>
        </w:rPr>
        <w:lastRenderedPageBreak/>
        <w:t xml:space="preserve">Table S2: </w:t>
      </w:r>
      <w:r>
        <w:t>Detector voltages used for all flow cytometry acquisitions</w:t>
      </w:r>
    </w:p>
    <w:tbl>
      <w:tblPr>
        <w:tblStyle w:val="LightShading"/>
        <w:tblW w:w="0" w:type="auto"/>
        <w:jc w:val="center"/>
        <w:tblLook w:val="04A0"/>
      </w:tblPr>
      <w:tblGrid>
        <w:gridCol w:w="2491"/>
        <w:gridCol w:w="2253"/>
      </w:tblGrid>
      <w:tr w:rsidR="00F72FAE" w:rsidTr="00276E41">
        <w:trPr>
          <w:cnfStyle w:val="100000000000"/>
          <w:trHeight w:val="268"/>
          <w:jc w:val="center"/>
        </w:trPr>
        <w:tc>
          <w:tcPr>
            <w:cnfStyle w:val="001000000000"/>
            <w:tcW w:w="2491" w:type="dxa"/>
          </w:tcPr>
          <w:p w:rsidR="00F72FAE" w:rsidRDefault="00F72FAE" w:rsidP="00276E41">
            <w:pPr>
              <w:jc w:val="center"/>
            </w:pPr>
            <w:r>
              <w:t>Detector</w:t>
            </w:r>
          </w:p>
        </w:tc>
        <w:tc>
          <w:tcPr>
            <w:tcW w:w="2253" w:type="dxa"/>
          </w:tcPr>
          <w:p w:rsidR="00F72FAE" w:rsidRDefault="00F72FAE" w:rsidP="00276E41">
            <w:pPr>
              <w:jc w:val="center"/>
              <w:cnfStyle w:val="100000000000"/>
            </w:pPr>
            <w:r>
              <w:t>Voltage</w:t>
            </w:r>
            <w:r w:rsidR="00675DB2">
              <w:t xml:space="preserve"> (V)</w:t>
            </w:r>
          </w:p>
        </w:tc>
      </w:tr>
      <w:tr w:rsidR="00F72FAE" w:rsidTr="00276E41">
        <w:trPr>
          <w:cnfStyle w:val="000000100000"/>
          <w:trHeight w:val="322"/>
          <w:jc w:val="center"/>
        </w:trPr>
        <w:tc>
          <w:tcPr>
            <w:cnfStyle w:val="001000000000"/>
            <w:tcW w:w="2491" w:type="dxa"/>
          </w:tcPr>
          <w:p w:rsidR="00F72FAE" w:rsidRPr="00F72FAE" w:rsidRDefault="00F72FAE" w:rsidP="00276E41">
            <w:pPr>
              <w:jc w:val="center"/>
              <w:rPr>
                <w:b w:val="0"/>
              </w:rPr>
            </w:pPr>
            <w:r>
              <w:rPr>
                <w:b w:val="0"/>
              </w:rPr>
              <w:t>Front scatter (FSC)</w:t>
            </w:r>
          </w:p>
        </w:tc>
        <w:tc>
          <w:tcPr>
            <w:tcW w:w="2253" w:type="dxa"/>
          </w:tcPr>
          <w:p w:rsidR="00F72FAE" w:rsidRDefault="00F72FAE" w:rsidP="00276E41">
            <w:pPr>
              <w:jc w:val="center"/>
              <w:cnfStyle w:val="000000100000"/>
            </w:pPr>
            <w:r>
              <w:t>162</w:t>
            </w:r>
          </w:p>
        </w:tc>
      </w:tr>
      <w:tr w:rsidR="00F72FAE" w:rsidTr="00276E41">
        <w:trPr>
          <w:trHeight w:val="279"/>
          <w:jc w:val="center"/>
        </w:trPr>
        <w:tc>
          <w:tcPr>
            <w:cnfStyle w:val="001000000000"/>
            <w:tcW w:w="2491" w:type="dxa"/>
          </w:tcPr>
          <w:p w:rsidR="00F72FAE" w:rsidRPr="00F72FAE" w:rsidRDefault="00F72FAE" w:rsidP="00276E41">
            <w:pPr>
              <w:jc w:val="center"/>
              <w:rPr>
                <w:b w:val="0"/>
              </w:rPr>
            </w:pPr>
            <w:r>
              <w:rPr>
                <w:b w:val="0"/>
              </w:rPr>
              <w:t>Side scatter (SSC)</w:t>
            </w:r>
          </w:p>
        </w:tc>
        <w:tc>
          <w:tcPr>
            <w:tcW w:w="2253" w:type="dxa"/>
          </w:tcPr>
          <w:p w:rsidR="00F72FAE" w:rsidRDefault="00F72FAE" w:rsidP="00276E41">
            <w:pPr>
              <w:jc w:val="center"/>
              <w:cnfStyle w:val="000000000000"/>
            </w:pPr>
            <w:r>
              <w:t>164</w:t>
            </w:r>
          </w:p>
        </w:tc>
      </w:tr>
      <w:tr w:rsidR="00F72FAE" w:rsidTr="00276E41">
        <w:trPr>
          <w:cnfStyle w:val="000000100000"/>
          <w:trHeight w:val="270"/>
          <w:jc w:val="center"/>
        </w:trPr>
        <w:tc>
          <w:tcPr>
            <w:cnfStyle w:val="001000000000"/>
            <w:tcW w:w="2491" w:type="dxa"/>
          </w:tcPr>
          <w:p w:rsidR="00F72FAE" w:rsidRPr="00F72FAE" w:rsidRDefault="00F72FAE" w:rsidP="00276E41">
            <w:pPr>
              <w:jc w:val="center"/>
              <w:rPr>
                <w:b w:val="0"/>
              </w:rPr>
            </w:pPr>
            <w:r>
              <w:rPr>
                <w:b w:val="0"/>
              </w:rPr>
              <w:t>Calcein</w:t>
            </w:r>
          </w:p>
        </w:tc>
        <w:tc>
          <w:tcPr>
            <w:tcW w:w="2253" w:type="dxa"/>
          </w:tcPr>
          <w:p w:rsidR="00F72FAE" w:rsidRDefault="00F72FAE" w:rsidP="00276E41">
            <w:pPr>
              <w:jc w:val="center"/>
              <w:cnfStyle w:val="000000100000"/>
            </w:pPr>
            <w:r>
              <w:t>130</w:t>
            </w:r>
          </w:p>
        </w:tc>
      </w:tr>
      <w:tr w:rsidR="00F72FAE" w:rsidTr="00276E41">
        <w:trPr>
          <w:trHeight w:val="252"/>
          <w:jc w:val="center"/>
        </w:trPr>
        <w:tc>
          <w:tcPr>
            <w:cnfStyle w:val="001000000000"/>
            <w:tcW w:w="2491" w:type="dxa"/>
          </w:tcPr>
          <w:p w:rsidR="00F72FAE" w:rsidRPr="00F72FAE" w:rsidRDefault="00F72FAE" w:rsidP="00276E41">
            <w:pPr>
              <w:jc w:val="center"/>
              <w:rPr>
                <w:b w:val="0"/>
              </w:rPr>
            </w:pPr>
            <w:r>
              <w:rPr>
                <w:b w:val="0"/>
              </w:rPr>
              <w:t>Propidium Iodide</w:t>
            </w:r>
          </w:p>
        </w:tc>
        <w:tc>
          <w:tcPr>
            <w:tcW w:w="2253" w:type="dxa"/>
          </w:tcPr>
          <w:p w:rsidR="00F72FAE" w:rsidRDefault="00F72FAE" w:rsidP="00276E41">
            <w:pPr>
              <w:jc w:val="center"/>
              <w:cnfStyle w:val="000000000000"/>
            </w:pPr>
            <w:r>
              <w:t>242</w:t>
            </w:r>
          </w:p>
        </w:tc>
      </w:tr>
    </w:tbl>
    <w:p w:rsidR="00910821" w:rsidRDefault="00910821" w:rsidP="00276E41">
      <w:pPr>
        <w:spacing w:line="480" w:lineRule="auto"/>
        <w:jc w:val="both"/>
        <w:rPr>
          <w:b/>
        </w:rPr>
      </w:pPr>
    </w:p>
    <w:p w:rsidR="00D818DC" w:rsidRDefault="006B52DA" w:rsidP="00276E41">
      <w:pPr>
        <w:spacing w:line="480" w:lineRule="auto"/>
        <w:ind w:firstLine="720"/>
        <w:jc w:val="both"/>
      </w:pPr>
      <w:r>
        <w:t>There is very little spectral overlap betwe</w:t>
      </w:r>
      <w:r w:rsidR="00DB32AD">
        <w:t>en calcein and PI;</w:t>
      </w:r>
      <w:r>
        <w:t xml:space="preserve"> </w:t>
      </w:r>
      <w:r w:rsidR="00DB32AD">
        <w:t>nevertheless</w:t>
      </w:r>
      <w:r>
        <w:t xml:space="preserve">, compensation </w:t>
      </w:r>
      <w:r w:rsidR="00F72FAE">
        <w:t>matrices were</w:t>
      </w:r>
      <w:r>
        <w:t xml:space="preserve"> calculated for each experiment. The following were used as compensation controls: (1) untreated, unstained </w:t>
      </w:r>
      <w:r w:rsidR="00D818DC">
        <w:t>cells,</w:t>
      </w:r>
      <w:r>
        <w:t xml:space="preserve"> (2)</w:t>
      </w:r>
      <w:r w:rsidR="00D818DC">
        <w:t xml:space="preserve"> </w:t>
      </w:r>
      <w:r>
        <w:t xml:space="preserve">untreated </w:t>
      </w:r>
      <w:r w:rsidR="00D818DC">
        <w:t>cel</w:t>
      </w:r>
      <w:r>
        <w:t>ls stained only with calcein-AM, and (3)</w:t>
      </w:r>
      <w:r w:rsidR="00D818DC">
        <w:t xml:space="preserve"> ethanol-killed cells stained only with PI</w:t>
      </w:r>
      <w:r>
        <w:t>.</w:t>
      </w:r>
      <w:r w:rsidR="00D818DC">
        <w:t xml:space="preserve"> Ten thousand events were recorded for each. Compensation matrices were calculated using FlowJo Data Analysis Software (Ashland, OR, USA) and were used to compensate all sonoporation data. </w:t>
      </w:r>
    </w:p>
    <w:p w:rsidR="00276E41" w:rsidRDefault="00276E41" w:rsidP="00276E41">
      <w:pPr>
        <w:spacing w:line="480" w:lineRule="auto"/>
        <w:ind w:firstLine="720"/>
        <w:jc w:val="both"/>
      </w:pPr>
      <w:r>
        <w:t>To quantify the number of viabl</w:t>
      </w:r>
      <w:r w:rsidR="009E3871">
        <w:t>e</w:t>
      </w:r>
      <w:r>
        <w:t xml:space="preserve"> sonoporated cells the following gating strategy was employed. </w:t>
      </w:r>
      <w:r w:rsidRPr="00276E41">
        <w:t>First, cells were isolated from debris using front scatter area (FSC-A) vs. side scatter area (SSC-A)</w:t>
      </w:r>
      <w:r>
        <w:t xml:space="preserve"> characteristics</w:t>
      </w:r>
      <w:r w:rsidRPr="00276E41">
        <w:t>. Second, singlet cells were isolated using FSC-A vs. front scatter height (FSC-H). Third, viability of the isolated cell populatio</w:t>
      </w:r>
      <w:r>
        <w:t>n was confirmed by calcein</w:t>
      </w:r>
      <w:r w:rsidRPr="00276E41">
        <w:t xml:space="preserve"> fluorescence. Finally, a </w:t>
      </w:r>
      <w:r>
        <w:t xml:space="preserve">curly </w:t>
      </w:r>
      <w:r w:rsidRPr="00276E41">
        <w:t xml:space="preserve">quadrant </w:t>
      </w:r>
      <w:r>
        <w:t>gate was drawn on the calcein</w:t>
      </w:r>
      <w:r w:rsidRPr="00276E41">
        <w:t xml:space="preserve"> vs. </w:t>
      </w:r>
      <w:r>
        <w:t>PI</w:t>
      </w:r>
      <w:r w:rsidRPr="00276E41">
        <w:t xml:space="preserve"> dot plot to quantify the percent of sonoporated cells</w:t>
      </w:r>
      <w:r>
        <w:t xml:space="preserve"> as those displaying both calcein-AM cleavage (viable) and PI uptake (permeabilized)</w:t>
      </w:r>
      <w:r w:rsidRPr="00276E41">
        <w:t xml:space="preserve"> (quadrant two (Q2)). </w:t>
      </w:r>
      <w:r>
        <w:t xml:space="preserve">Curly quadrant gates (those with curved arms) were employed in effort to minimize error associated with spread of intensely fluorescent populations (due to proton counting error). See Figure S1 for gating hierarchy. </w:t>
      </w:r>
    </w:p>
    <w:p w:rsidR="00354597" w:rsidRPr="00C010A3" w:rsidRDefault="00276E41" w:rsidP="0093240F">
      <w:pPr>
        <w:spacing w:line="480" w:lineRule="auto"/>
        <w:ind w:firstLine="720"/>
        <w:jc w:val="both"/>
      </w:pPr>
      <w:r>
        <w:t>A nearly identical gating strategy was employed to detect changes in a</w:t>
      </w:r>
      <w:r w:rsidR="003853E3">
        <w:t>utofluorescence following treat</w:t>
      </w:r>
      <w:r>
        <w:t xml:space="preserve">ment, with the only exception being that viable cells were </w:t>
      </w:r>
      <w:r>
        <w:lastRenderedPageBreak/>
        <w:t xml:space="preserve">not gated based on calcein fluorescence (as these cells were un-dyed) (Figure S2A). </w:t>
      </w:r>
      <w:r w:rsidRPr="00276E41">
        <w:t xml:space="preserve">Cells that were untreated and undyed (sham control) showed no autofluorescence in the calcein </w:t>
      </w:r>
      <w:r w:rsidR="00DB32AD">
        <w:t>or</w:t>
      </w:r>
      <w:r w:rsidRPr="00276E41">
        <w:t xml:space="preserve"> the </w:t>
      </w:r>
      <w:r w:rsidR="00DB32AD">
        <w:t>PI</w:t>
      </w:r>
      <w:r w:rsidRPr="00276E41">
        <w:t xml:space="preserve"> channels. However, slight spreading along the PI axis was observed in cells treated with ultrasound and PCCAs. The percentage of cells in Q3 was subtracted from final sonoporation efficiencies for each condition. </w:t>
      </w:r>
      <w:r w:rsidR="00C61A40">
        <w:rPr>
          <w:rFonts w:ascii="Cambria" w:hAnsi="Cambria"/>
          <w:b/>
        </w:rPr>
        <w:fldChar w:fldCharType="begin"/>
      </w:r>
      <w:r w:rsidR="00963DEA">
        <w:rPr>
          <w:b/>
        </w:rPr>
        <w:instrText xml:space="preserve"> ADDIN EN.REFLIST </w:instrText>
      </w:r>
      <w:r w:rsidR="00C61A40">
        <w:rPr>
          <w:rFonts w:ascii="Cambria" w:hAnsi="Cambria"/>
          <w:b/>
        </w:rPr>
        <w:fldChar w:fldCharType="end"/>
      </w:r>
    </w:p>
    <w:sectPr w:rsidR="00354597" w:rsidRPr="00C010A3" w:rsidSect="00FF2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3E" w:rsidRDefault="0052243E" w:rsidP="00FD35B7">
      <w:r>
        <w:separator/>
      </w:r>
    </w:p>
  </w:endnote>
  <w:endnote w:type="continuationSeparator" w:id="0">
    <w:p w:rsidR="0052243E" w:rsidRDefault="0052243E" w:rsidP="00FD3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6E" w:rsidRDefault="00C61A40" w:rsidP="00FD35B7">
    <w:pPr>
      <w:pStyle w:val="Footer"/>
      <w:framePr w:wrap="around" w:vAnchor="text" w:hAnchor="margin" w:xAlign="right" w:y="1"/>
      <w:rPr>
        <w:rStyle w:val="PageNumber"/>
      </w:rPr>
    </w:pPr>
    <w:r>
      <w:rPr>
        <w:rStyle w:val="PageNumber"/>
      </w:rPr>
      <w:fldChar w:fldCharType="begin"/>
    </w:r>
    <w:r w:rsidR="00D9626E">
      <w:rPr>
        <w:rStyle w:val="PageNumber"/>
      </w:rPr>
      <w:instrText xml:space="preserve">PAGE  </w:instrText>
    </w:r>
    <w:r>
      <w:rPr>
        <w:rStyle w:val="PageNumber"/>
      </w:rPr>
      <w:fldChar w:fldCharType="end"/>
    </w:r>
  </w:p>
  <w:p w:rsidR="00D9626E" w:rsidRDefault="00D9626E" w:rsidP="00FD35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6E" w:rsidRDefault="00C61A40" w:rsidP="00FD35B7">
    <w:pPr>
      <w:pStyle w:val="Footer"/>
      <w:framePr w:wrap="around" w:vAnchor="text" w:hAnchor="margin" w:xAlign="right" w:y="1"/>
      <w:rPr>
        <w:rStyle w:val="PageNumber"/>
      </w:rPr>
    </w:pPr>
    <w:r>
      <w:rPr>
        <w:rStyle w:val="PageNumber"/>
      </w:rPr>
      <w:fldChar w:fldCharType="begin"/>
    </w:r>
    <w:r w:rsidR="00D9626E">
      <w:rPr>
        <w:rStyle w:val="PageNumber"/>
      </w:rPr>
      <w:instrText xml:space="preserve">PAGE  </w:instrText>
    </w:r>
    <w:r>
      <w:rPr>
        <w:rStyle w:val="PageNumber"/>
      </w:rPr>
      <w:fldChar w:fldCharType="separate"/>
    </w:r>
    <w:r w:rsidR="00FF248D">
      <w:rPr>
        <w:rStyle w:val="PageNumber"/>
        <w:noProof/>
      </w:rPr>
      <w:t>3</w:t>
    </w:r>
    <w:r>
      <w:rPr>
        <w:rStyle w:val="PageNumber"/>
      </w:rPr>
      <w:fldChar w:fldCharType="end"/>
    </w:r>
  </w:p>
  <w:p w:rsidR="00D9626E" w:rsidRDefault="00D9626E" w:rsidP="00FD35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3E" w:rsidRDefault="0052243E" w:rsidP="00FD35B7">
      <w:r>
        <w:separator/>
      </w:r>
    </w:p>
  </w:footnote>
  <w:footnote w:type="continuationSeparator" w:id="0">
    <w:p w:rsidR="0052243E" w:rsidRDefault="0052243E" w:rsidP="00FD3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E67"/>
    <w:multiLevelType w:val="hybridMultilevel"/>
    <w:tmpl w:val="CC126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64B34"/>
    <w:multiLevelType w:val="hybridMultilevel"/>
    <w:tmpl w:val="8A2C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74558"/>
    <w:multiLevelType w:val="hybridMultilevel"/>
    <w:tmpl w:val="04E0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96D8C"/>
    <w:multiLevelType w:val="hybridMultilevel"/>
    <w:tmpl w:val="C788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C3AEF"/>
    <w:multiLevelType w:val="multilevel"/>
    <w:tmpl w:val="2730C3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3B941B2"/>
    <w:multiLevelType w:val="hybridMultilevel"/>
    <w:tmpl w:val="44FE359E"/>
    <w:lvl w:ilvl="0" w:tplc="C046C5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821A42"/>
    <w:multiLevelType w:val="hybridMultilevel"/>
    <w:tmpl w:val="26D2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D4639"/>
    <w:multiLevelType w:val="multilevel"/>
    <w:tmpl w:val="059EE202"/>
    <w:lvl w:ilvl="0">
      <w:start w:val="1"/>
      <w:numFmt w:val="decimal"/>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7C77A1C"/>
    <w:multiLevelType w:val="hybridMultilevel"/>
    <w:tmpl w:val="C9F8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97A43"/>
    <w:multiLevelType w:val="hybridMultilevel"/>
    <w:tmpl w:val="6562E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0846A0"/>
    <w:multiLevelType w:val="hybridMultilevel"/>
    <w:tmpl w:val="44A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A596B"/>
    <w:multiLevelType w:val="hybridMultilevel"/>
    <w:tmpl w:val="03F4FB74"/>
    <w:lvl w:ilvl="0" w:tplc="F40C100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6"/>
  </w:num>
  <w:num w:numId="6">
    <w:abstractNumId w:val="2"/>
  </w:num>
  <w:num w:numId="7">
    <w:abstractNumId w:val="8"/>
  </w:num>
  <w:num w:numId="8">
    <w:abstractNumId w:val="3"/>
  </w:num>
  <w:num w:numId="9">
    <w:abstractNumId w:val="4"/>
  </w:num>
  <w:num w:numId="10">
    <w:abstractNumId w:val="5"/>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ioMed Central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adtzapaez55he9tpa5zrsb0zxdep5pea9f&quot;&gt;My EndNote Library&lt;record-ids&gt;&lt;item&gt;263&lt;/item&gt;&lt;item&gt;264&lt;/item&gt;&lt;item&gt;265&lt;/item&gt;&lt;item&gt;381&lt;/item&gt;&lt;item&gt;401&lt;/item&gt;&lt;item&gt;402&lt;/item&gt;&lt;item&gt;404&lt;/item&gt;&lt;item&gt;405&lt;/item&gt;&lt;item&gt;406&lt;/item&gt;&lt;item&gt;407&lt;/item&gt;&lt;item&gt;408&lt;/item&gt;&lt;item&gt;410&lt;/item&gt;&lt;item&gt;411&lt;/item&gt;&lt;item&gt;419&lt;/item&gt;&lt;item&gt;423&lt;/item&gt;&lt;item&gt;424&lt;/item&gt;&lt;item&gt;425&lt;/item&gt;&lt;item&gt;426&lt;/item&gt;&lt;item&gt;427&lt;/item&gt;&lt;item&gt;428&lt;/item&gt;&lt;item&gt;429&lt;/item&gt;&lt;item&gt;430&lt;/item&gt;&lt;item&gt;431&lt;/item&gt;&lt;item&gt;435&lt;/item&gt;&lt;item&gt;436&lt;/item&gt;&lt;item&gt;437&lt;/item&gt;&lt;/record-ids&gt;&lt;/item&gt;&lt;/Libraries&gt;"/>
  </w:docVars>
  <w:rsids>
    <w:rsidRoot w:val="00DC120A"/>
    <w:rsid w:val="00001CAC"/>
    <w:rsid w:val="00002DAC"/>
    <w:rsid w:val="000045EC"/>
    <w:rsid w:val="00016914"/>
    <w:rsid w:val="0002434F"/>
    <w:rsid w:val="00034549"/>
    <w:rsid w:val="00041228"/>
    <w:rsid w:val="0004174C"/>
    <w:rsid w:val="00054155"/>
    <w:rsid w:val="000664CE"/>
    <w:rsid w:val="000664E9"/>
    <w:rsid w:val="000738B4"/>
    <w:rsid w:val="00074CD3"/>
    <w:rsid w:val="00081D52"/>
    <w:rsid w:val="00085B44"/>
    <w:rsid w:val="000967E9"/>
    <w:rsid w:val="000A137F"/>
    <w:rsid w:val="000A248E"/>
    <w:rsid w:val="000B07F8"/>
    <w:rsid w:val="000C2FDC"/>
    <w:rsid w:val="000C7592"/>
    <w:rsid w:val="00101005"/>
    <w:rsid w:val="0010586D"/>
    <w:rsid w:val="001241BE"/>
    <w:rsid w:val="001344EC"/>
    <w:rsid w:val="00142D67"/>
    <w:rsid w:val="001439AC"/>
    <w:rsid w:val="00145695"/>
    <w:rsid w:val="00146FB7"/>
    <w:rsid w:val="0015143B"/>
    <w:rsid w:val="00160FCC"/>
    <w:rsid w:val="00166E5C"/>
    <w:rsid w:val="00172169"/>
    <w:rsid w:val="00176534"/>
    <w:rsid w:val="001814E0"/>
    <w:rsid w:val="001A5912"/>
    <w:rsid w:val="001A5D69"/>
    <w:rsid w:val="001A5DBC"/>
    <w:rsid w:val="001B7504"/>
    <w:rsid w:val="001C3E3D"/>
    <w:rsid w:val="001E274F"/>
    <w:rsid w:val="001E6826"/>
    <w:rsid w:val="001F0693"/>
    <w:rsid w:val="001F3006"/>
    <w:rsid w:val="001F42E2"/>
    <w:rsid w:val="00202B0C"/>
    <w:rsid w:val="00203EB3"/>
    <w:rsid w:val="00211FE6"/>
    <w:rsid w:val="00212233"/>
    <w:rsid w:val="002141E4"/>
    <w:rsid w:val="0022323F"/>
    <w:rsid w:val="002330EA"/>
    <w:rsid w:val="00263A0C"/>
    <w:rsid w:val="00276E41"/>
    <w:rsid w:val="00280F60"/>
    <w:rsid w:val="00284567"/>
    <w:rsid w:val="00297941"/>
    <w:rsid w:val="002A48FE"/>
    <w:rsid w:val="002A4A10"/>
    <w:rsid w:val="002B0A4F"/>
    <w:rsid w:val="002C60B8"/>
    <w:rsid w:val="002C6399"/>
    <w:rsid w:val="002C6D8D"/>
    <w:rsid w:val="002D0C8E"/>
    <w:rsid w:val="002E14F3"/>
    <w:rsid w:val="002E1CDF"/>
    <w:rsid w:val="002E5DBA"/>
    <w:rsid w:val="002F4E7C"/>
    <w:rsid w:val="003041F5"/>
    <w:rsid w:val="003052D7"/>
    <w:rsid w:val="00307D27"/>
    <w:rsid w:val="00333982"/>
    <w:rsid w:val="00335902"/>
    <w:rsid w:val="00341DB8"/>
    <w:rsid w:val="00341FF4"/>
    <w:rsid w:val="00345E62"/>
    <w:rsid w:val="00354597"/>
    <w:rsid w:val="00355D2F"/>
    <w:rsid w:val="00361E50"/>
    <w:rsid w:val="003675B5"/>
    <w:rsid w:val="00373B55"/>
    <w:rsid w:val="00383670"/>
    <w:rsid w:val="003853E3"/>
    <w:rsid w:val="0039008C"/>
    <w:rsid w:val="003A4BB5"/>
    <w:rsid w:val="003A7A18"/>
    <w:rsid w:val="003B1658"/>
    <w:rsid w:val="003B2367"/>
    <w:rsid w:val="003B3497"/>
    <w:rsid w:val="003B661D"/>
    <w:rsid w:val="003B6CD7"/>
    <w:rsid w:val="003C4EC7"/>
    <w:rsid w:val="003D667C"/>
    <w:rsid w:val="003F48CB"/>
    <w:rsid w:val="003F6906"/>
    <w:rsid w:val="003F6F03"/>
    <w:rsid w:val="00402ADC"/>
    <w:rsid w:val="00413203"/>
    <w:rsid w:val="004279D0"/>
    <w:rsid w:val="00436D21"/>
    <w:rsid w:val="00442B87"/>
    <w:rsid w:val="0045192B"/>
    <w:rsid w:val="0045660D"/>
    <w:rsid w:val="0046087D"/>
    <w:rsid w:val="00460BB9"/>
    <w:rsid w:val="004821F9"/>
    <w:rsid w:val="00486EED"/>
    <w:rsid w:val="004A04CF"/>
    <w:rsid w:val="004A5936"/>
    <w:rsid w:val="004B0BE6"/>
    <w:rsid w:val="004B2EA7"/>
    <w:rsid w:val="004B7AC3"/>
    <w:rsid w:val="004C122B"/>
    <w:rsid w:val="004C421E"/>
    <w:rsid w:val="004D09BF"/>
    <w:rsid w:val="005043CA"/>
    <w:rsid w:val="00504DF7"/>
    <w:rsid w:val="00505DCA"/>
    <w:rsid w:val="00511797"/>
    <w:rsid w:val="005137D4"/>
    <w:rsid w:val="00515095"/>
    <w:rsid w:val="00517766"/>
    <w:rsid w:val="0052243E"/>
    <w:rsid w:val="0052592F"/>
    <w:rsid w:val="00532A3E"/>
    <w:rsid w:val="005377C6"/>
    <w:rsid w:val="00547A8E"/>
    <w:rsid w:val="005506D2"/>
    <w:rsid w:val="005519E9"/>
    <w:rsid w:val="00554047"/>
    <w:rsid w:val="00560D93"/>
    <w:rsid w:val="0057401B"/>
    <w:rsid w:val="005774AC"/>
    <w:rsid w:val="00580BE5"/>
    <w:rsid w:val="00581C97"/>
    <w:rsid w:val="00587B53"/>
    <w:rsid w:val="005A0605"/>
    <w:rsid w:val="005A0A06"/>
    <w:rsid w:val="005A10BF"/>
    <w:rsid w:val="005A42EF"/>
    <w:rsid w:val="005B592C"/>
    <w:rsid w:val="005C005D"/>
    <w:rsid w:val="005D34EE"/>
    <w:rsid w:val="005D3F02"/>
    <w:rsid w:val="005E48EE"/>
    <w:rsid w:val="005E5D8A"/>
    <w:rsid w:val="005E7CD2"/>
    <w:rsid w:val="005F751A"/>
    <w:rsid w:val="00607EB1"/>
    <w:rsid w:val="00611DAE"/>
    <w:rsid w:val="00615CB4"/>
    <w:rsid w:val="0062017F"/>
    <w:rsid w:val="006210AE"/>
    <w:rsid w:val="006341BB"/>
    <w:rsid w:val="00637A88"/>
    <w:rsid w:val="006409E0"/>
    <w:rsid w:val="00643B10"/>
    <w:rsid w:val="006524F3"/>
    <w:rsid w:val="006548BE"/>
    <w:rsid w:val="006632A5"/>
    <w:rsid w:val="00675DB2"/>
    <w:rsid w:val="00680181"/>
    <w:rsid w:val="0068060C"/>
    <w:rsid w:val="00685273"/>
    <w:rsid w:val="00690CB9"/>
    <w:rsid w:val="006A3EA3"/>
    <w:rsid w:val="006A4912"/>
    <w:rsid w:val="006A5299"/>
    <w:rsid w:val="006A7DF8"/>
    <w:rsid w:val="006B52DA"/>
    <w:rsid w:val="006B5DE5"/>
    <w:rsid w:val="006C0E02"/>
    <w:rsid w:val="006D6075"/>
    <w:rsid w:val="006D7913"/>
    <w:rsid w:val="006E4247"/>
    <w:rsid w:val="006E44F8"/>
    <w:rsid w:val="006E6D51"/>
    <w:rsid w:val="006F44CE"/>
    <w:rsid w:val="0070450F"/>
    <w:rsid w:val="007048F3"/>
    <w:rsid w:val="0072738C"/>
    <w:rsid w:val="007302A8"/>
    <w:rsid w:val="00735A17"/>
    <w:rsid w:val="00746AB8"/>
    <w:rsid w:val="00746BF3"/>
    <w:rsid w:val="00756986"/>
    <w:rsid w:val="00757422"/>
    <w:rsid w:val="00761CB5"/>
    <w:rsid w:val="00763D2D"/>
    <w:rsid w:val="00776874"/>
    <w:rsid w:val="00781B0D"/>
    <w:rsid w:val="0078302C"/>
    <w:rsid w:val="007834EB"/>
    <w:rsid w:val="00787561"/>
    <w:rsid w:val="0079233D"/>
    <w:rsid w:val="00793C3F"/>
    <w:rsid w:val="00793C91"/>
    <w:rsid w:val="00797ACE"/>
    <w:rsid w:val="007B12BB"/>
    <w:rsid w:val="007B12E8"/>
    <w:rsid w:val="007C3264"/>
    <w:rsid w:val="007C45E9"/>
    <w:rsid w:val="007C7927"/>
    <w:rsid w:val="007D0507"/>
    <w:rsid w:val="007E1006"/>
    <w:rsid w:val="00807AE5"/>
    <w:rsid w:val="00836BA5"/>
    <w:rsid w:val="00837FFE"/>
    <w:rsid w:val="008424F3"/>
    <w:rsid w:val="0084673F"/>
    <w:rsid w:val="00847FEF"/>
    <w:rsid w:val="00852C72"/>
    <w:rsid w:val="00853112"/>
    <w:rsid w:val="008760B2"/>
    <w:rsid w:val="008A1511"/>
    <w:rsid w:val="008A1C31"/>
    <w:rsid w:val="008A2828"/>
    <w:rsid w:val="008A2A5A"/>
    <w:rsid w:val="008A6633"/>
    <w:rsid w:val="008A7884"/>
    <w:rsid w:val="008B710F"/>
    <w:rsid w:val="008B763D"/>
    <w:rsid w:val="008D0101"/>
    <w:rsid w:val="008E79E6"/>
    <w:rsid w:val="00905330"/>
    <w:rsid w:val="00907BB8"/>
    <w:rsid w:val="00910821"/>
    <w:rsid w:val="00910FBC"/>
    <w:rsid w:val="009116F5"/>
    <w:rsid w:val="00916447"/>
    <w:rsid w:val="00920FF4"/>
    <w:rsid w:val="009211E1"/>
    <w:rsid w:val="0092352A"/>
    <w:rsid w:val="00931C17"/>
    <w:rsid w:val="0093240F"/>
    <w:rsid w:val="0093591D"/>
    <w:rsid w:val="0093694E"/>
    <w:rsid w:val="00941DBE"/>
    <w:rsid w:val="00944FFC"/>
    <w:rsid w:val="00945BFF"/>
    <w:rsid w:val="0095491C"/>
    <w:rsid w:val="00963DEA"/>
    <w:rsid w:val="00970B1D"/>
    <w:rsid w:val="009724C3"/>
    <w:rsid w:val="00974B9F"/>
    <w:rsid w:val="00976F47"/>
    <w:rsid w:val="009916F3"/>
    <w:rsid w:val="00992B3B"/>
    <w:rsid w:val="009A1F47"/>
    <w:rsid w:val="009B1A0C"/>
    <w:rsid w:val="009B2C15"/>
    <w:rsid w:val="009B4A0C"/>
    <w:rsid w:val="009B5DA0"/>
    <w:rsid w:val="009B5DDC"/>
    <w:rsid w:val="009C7CD4"/>
    <w:rsid w:val="009D33F8"/>
    <w:rsid w:val="009E3871"/>
    <w:rsid w:val="00A0420A"/>
    <w:rsid w:val="00A068C2"/>
    <w:rsid w:val="00A14830"/>
    <w:rsid w:val="00A22FF9"/>
    <w:rsid w:val="00A60199"/>
    <w:rsid w:val="00A61BAA"/>
    <w:rsid w:val="00A734E1"/>
    <w:rsid w:val="00A96B41"/>
    <w:rsid w:val="00A973BC"/>
    <w:rsid w:val="00AC33DC"/>
    <w:rsid w:val="00AD0829"/>
    <w:rsid w:val="00AD602F"/>
    <w:rsid w:val="00AE0ACF"/>
    <w:rsid w:val="00AE1A94"/>
    <w:rsid w:val="00AE1FCD"/>
    <w:rsid w:val="00AE22B4"/>
    <w:rsid w:val="00AE5769"/>
    <w:rsid w:val="00AF0369"/>
    <w:rsid w:val="00B113C5"/>
    <w:rsid w:val="00B116C9"/>
    <w:rsid w:val="00B146A9"/>
    <w:rsid w:val="00B1712A"/>
    <w:rsid w:val="00B20313"/>
    <w:rsid w:val="00B300C5"/>
    <w:rsid w:val="00B34D84"/>
    <w:rsid w:val="00B35769"/>
    <w:rsid w:val="00B361A9"/>
    <w:rsid w:val="00B4507F"/>
    <w:rsid w:val="00B45746"/>
    <w:rsid w:val="00B46666"/>
    <w:rsid w:val="00B5752D"/>
    <w:rsid w:val="00B67297"/>
    <w:rsid w:val="00B7062E"/>
    <w:rsid w:val="00B85C92"/>
    <w:rsid w:val="00B9158C"/>
    <w:rsid w:val="00B942E9"/>
    <w:rsid w:val="00BA4540"/>
    <w:rsid w:val="00BA62BE"/>
    <w:rsid w:val="00BA7CED"/>
    <w:rsid w:val="00BB04C6"/>
    <w:rsid w:val="00BB2E7E"/>
    <w:rsid w:val="00BD0801"/>
    <w:rsid w:val="00BF4295"/>
    <w:rsid w:val="00C010A3"/>
    <w:rsid w:val="00C23F37"/>
    <w:rsid w:val="00C25ECD"/>
    <w:rsid w:val="00C34FAE"/>
    <w:rsid w:val="00C41F8A"/>
    <w:rsid w:val="00C45EA3"/>
    <w:rsid w:val="00C50680"/>
    <w:rsid w:val="00C61A40"/>
    <w:rsid w:val="00C63043"/>
    <w:rsid w:val="00C67F50"/>
    <w:rsid w:val="00C71B1F"/>
    <w:rsid w:val="00C84059"/>
    <w:rsid w:val="00C94306"/>
    <w:rsid w:val="00CA1718"/>
    <w:rsid w:val="00CA3C0C"/>
    <w:rsid w:val="00CA7E35"/>
    <w:rsid w:val="00CB0EDA"/>
    <w:rsid w:val="00CB2CD1"/>
    <w:rsid w:val="00CB6252"/>
    <w:rsid w:val="00CB6D46"/>
    <w:rsid w:val="00CC1A1B"/>
    <w:rsid w:val="00CC77F7"/>
    <w:rsid w:val="00CD5FCB"/>
    <w:rsid w:val="00CE2CFB"/>
    <w:rsid w:val="00CE7B47"/>
    <w:rsid w:val="00CF2C45"/>
    <w:rsid w:val="00D20064"/>
    <w:rsid w:val="00D20505"/>
    <w:rsid w:val="00D53062"/>
    <w:rsid w:val="00D5322C"/>
    <w:rsid w:val="00D61C8C"/>
    <w:rsid w:val="00D636E1"/>
    <w:rsid w:val="00D72E1B"/>
    <w:rsid w:val="00D74E94"/>
    <w:rsid w:val="00D818DC"/>
    <w:rsid w:val="00D953F2"/>
    <w:rsid w:val="00D9626E"/>
    <w:rsid w:val="00DA1E96"/>
    <w:rsid w:val="00DA6EC0"/>
    <w:rsid w:val="00DB32AD"/>
    <w:rsid w:val="00DC120A"/>
    <w:rsid w:val="00DD4BA5"/>
    <w:rsid w:val="00DE0763"/>
    <w:rsid w:val="00DE7156"/>
    <w:rsid w:val="00DF137F"/>
    <w:rsid w:val="00E01704"/>
    <w:rsid w:val="00E1000E"/>
    <w:rsid w:val="00E1784A"/>
    <w:rsid w:val="00E21752"/>
    <w:rsid w:val="00E23585"/>
    <w:rsid w:val="00E302EA"/>
    <w:rsid w:val="00E30C42"/>
    <w:rsid w:val="00E503D4"/>
    <w:rsid w:val="00E57323"/>
    <w:rsid w:val="00E604F9"/>
    <w:rsid w:val="00E61DD2"/>
    <w:rsid w:val="00E62360"/>
    <w:rsid w:val="00E63941"/>
    <w:rsid w:val="00E725F4"/>
    <w:rsid w:val="00E7292B"/>
    <w:rsid w:val="00E84DF7"/>
    <w:rsid w:val="00EA7AB4"/>
    <w:rsid w:val="00EB1073"/>
    <w:rsid w:val="00EB7A67"/>
    <w:rsid w:val="00EC0452"/>
    <w:rsid w:val="00EC1053"/>
    <w:rsid w:val="00EC5DE6"/>
    <w:rsid w:val="00ED1F18"/>
    <w:rsid w:val="00ED2001"/>
    <w:rsid w:val="00ED486B"/>
    <w:rsid w:val="00EE55CE"/>
    <w:rsid w:val="00EF3405"/>
    <w:rsid w:val="00EF3F80"/>
    <w:rsid w:val="00EF4D4B"/>
    <w:rsid w:val="00F00DC9"/>
    <w:rsid w:val="00F04435"/>
    <w:rsid w:val="00F06674"/>
    <w:rsid w:val="00F2174A"/>
    <w:rsid w:val="00F26AE3"/>
    <w:rsid w:val="00F276E7"/>
    <w:rsid w:val="00F27922"/>
    <w:rsid w:val="00F35D52"/>
    <w:rsid w:val="00F37541"/>
    <w:rsid w:val="00F41CDC"/>
    <w:rsid w:val="00F545FC"/>
    <w:rsid w:val="00F61C77"/>
    <w:rsid w:val="00F63D60"/>
    <w:rsid w:val="00F64204"/>
    <w:rsid w:val="00F70548"/>
    <w:rsid w:val="00F72FAE"/>
    <w:rsid w:val="00F77305"/>
    <w:rsid w:val="00F930BF"/>
    <w:rsid w:val="00F94F33"/>
    <w:rsid w:val="00F95BF9"/>
    <w:rsid w:val="00FA07A9"/>
    <w:rsid w:val="00FA699E"/>
    <w:rsid w:val="00FB42A8"/>
    <w:rsid w:val="00FC0651"/>
    <w:rsid w:val="00FD35B7"/>
    <w:rsid w:val="00FD3894"/>
    <w:rsid w:val="00FD4282"/>
    <w:rsid w:val="00FF0EA0"/>
    <w:rsid w:val="00FF248D"/>
    <w:rsid w:val="00FF3F42"/>
    <w:rsid w:val="00FF49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0A"/>
    <w:pPr>
      <w:ind w:left="720"/>
      <w:contextualSpacing/>
    </w:pPr>
  </w:style>
  <w:style w:type="character" w:styleId="Emphasis">
    <w:name w:val="Emphasis"/>
    <w:basedOn w:val="DefaultParagraphFont"/>
    <w:uiPriority w:val="20"/>
    <w:qFormat/>
    <w:rsid w:val="0039008C"/>
    <w:rPr>
      <w:i/>
      <w:iCs/>
    </w:rPr>
  </w:style>
  <w:style w:type="character" w:customStyle="1" w:styleId="apple-converted-space">
    <w:name w:val="apple-converted-space"/>
    <w:basedOn w:val="DefaultParagraphFont"/>
    <w:rsid w:val="0039008C"/>
  </w:style>
  <w:style w:type="paragraph" w:customStyle="1" w:styleId="EndNoteBibliographyTitle">
    <w:name w:val="EndNote Bibliography Title"/>
    <w:basedOn w:val="Normal"/>
    <w:rsid w:val="00963DEA"/>
    <w:pPr>
      <w:jc w:val="center"/>
    </w:pPr>
    <w:rPr>
      <w:rFonts w:ascii="Cambria" w:hAnsi="Cambria"/>
    </w:rPr>
  </w:style>
  <w:style w:type="paragraph" w:customStyle="1" w:styleId="EndNoteBibliography">
    <w:name w:val="EndNote Bibliography"/>
    <w:basedOn w:val="Normal"/>
    <w:rsid w:val="00963DEA"/>
    <w:rPr>
      <w:rFonts w:ascii="Cambria" w:hAnsi="Cambria"/>
    </w:rPr>
  </w:style>
  <w:style w:type="character" w:styleId="PlaceholderText">
    <w:name w:val="Placeholder Text"/>
    <w:basedOn w:val="DefaultParagraphFont"/>
    <w:uiPriority w:val="99"/>
    <w:semiHidden/>
    <w:rsid w:val="00F04435"/>
    <w:rPr>
      <w:color w:val="808080"/>
    </w:rPr>
  </w:style>
  <w:style w:type="paragraph" w:styleId="BalloonText">
    <w:name w:val="Balloon Text"/>
    <w:basedOn w:val="Normal"/>
    <w:link w:val="BalloonTextChar"/>
    <w:uiPriority w:val="99"/>
    <w:semiHidden/>
    <w:unhideWhenUsed/>
    <w:rsid w:val="00F04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435"/>
    <w:rPr>
      <w:rFonts w:ascii="Lucida Grande" w:hAnsi="Lucida Grande" w:cs="Lucida Grande"/>
      <w:sz w:val="18"/>
      <w:szCs w:val="18"/>
    </w:rPr>
  </w:style>
  <w:style w:type="character" w:styleId="Hyperlink">
    <w:name w:val="Hyperlink"/>
    <w:basedOn w:val="DefaultParagraphFont"/>
    <w:uiPriority w:val="99"/>
    <w:unhideWhenUsed/>
    <w:rsid w:val="003F6906"/>
    <w:rPr>
      <w:color w:val="0000FF" w:themeColor="hyperlink"/>
      <w:u w:val="single"/>
    </w:rPr>
  </w:style>
  <w:style w:type="table" w:styleId="TableGrid">
    <w:name w:val="Table Grid"/>
    <w:basedOn w:val="TableNormal"/>
    <w:uiPriority w:val="59"/>
    <w:rsid w:val="00305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D35B7"/>
  </w:style>
  <w:style w:type="paragraph" w:styleId="Footer">
    <w:name w:val="footer"/>
    <w:basedOn w:val="Normal"/>
    <w:link w:val="FooterChar"/>
    <w:uiPriority w:val="99"/>
    <w:unhideWhenUsed/>
    <w:rsid w:val="00FD35B7"/>
    <w:pPr>
      <w:tabs>
        <w:tab w:val="center" w:pos="4320"/>
        <w:tab w:val="right" w:pos="8640"/>
      </w:tabs>
    </w:pPr>
  </w:style>
  <w:style w:type="character" w:customStyle="1" w:styleId="FooterChar">
    <w:name w:val="Footer Char"/>
    <w:basedOn w:val="DefaultParagraphFont"/>
    <w:link w:val="Footer"/>
    <w:uiPriority w:val="99"/>
    <w:rsid w:val="00FD35B7"/>
  </w:style>
  <w:style w:type="character" w:styleId="PageNumber">
    <w:name w:val="page number"/>
    <w:basedOn w:val="DefaultParagraphFont"/>
    <w:uiPriority w:val="99"/>
    <w:semiHidden/>
    <w:unhideWhenUsed/>
    <w:rsid w:val="00FD35B7"/>
  </w:style>
  <w:style w:type="table" w:styleId="LightShading">
    <w:name w:val="Light Shading"/>
    <w:basedOn w:val="TableNormal"/>
    <w:uiPriority w:val="60"/>
    <w:rsid w:val="0045192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76E4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56986"/>
    <w:rPr>
      <w:sz w:val="16"/>
      <w:szCs w:val="16"/>
    </w:rPr>
  </w:style>
  <w:style w:type="paragraph" w:styleId="CommentText">
    <w:name w:val="annotation text"/>
    <w:basedOn w:val="Normal"/>
    <w:link w:val="CommentTextChar"/>
    <w:uiPriority w:val="99"/>
    <w:semiHidden/>
    <w:unhideWhenUsed/>
    <w:rsid w:val="00756986"/>
    <w:rPr>
      <w:sz w:val="20"/>
      <w:szCs w:val="20"/>
    </w:rPr>
  </w:style>
  <w:style w:type="character" w:customStyle="1" w:styleId="CommentTextChar">
    <w:name w:val="Comment Text Char"/>
    <w:basedOn w:val="DefaultParagraphFont"/>
    <w:link w:val="CommentText"/>
    <w:uiPriority w:val="99"/>
    <w:semiHidden/>
    <w:rsid w:val="00756986"/>
    <w:rPr>
      <w:sz w:val="20"/>
      <w:szCs w:val="20"/>
    </w:rPr>
  </w:style>
  <w:style w:type="paragraph" w:styleId="CommentSubject">
    <w:name w:val="annotation subject"/>
    <w:basedOn w:val="CommentText"/>
    <w:next w:val="CommentText"/>
    <w:link w:val="CommentSubjectChar"/>
    <w:uiPriority w:val="99"/>
    <w:semiHidden/>
    <w:unhideWhenUsed/>
    <w:rsid w:val="00756986"/>
    <w:rPr>
      <w:b/>
      <w:bCs/>
    </w:rPr>
  </w:style>
  <w:style w:type="character" w:customStyle="1" w:styleId="CommentSubjectChar">
    <w:name w:val="Comment Subject Char"/>
    <w:basedOn w:val="CommentTextChar"/>
    <w:link w:val="CommentSubject"/>
    <w:uiPriority w:val="99"/>
    <w:semiHidden/>
    <w:rsid w:val="00756986"/>
    <w:rPr>
      <w:b/>
      <w:bCs/>
      <w:sz w:val="20"/>
      <w:szCs w:val="20"/>
    </w:rPr>
  </w:style>
  <w:style w:type="character" w:customStyle="1" w:styleId="il">
    <w:name w:val="il"/>
    <w:basedOn w:val="DefaultParagraphFont"/>
    <w:rsid w:val="00DE0763"/>
  </w:style>
</w:styles>
</file>

<file path=word/webSettings.xml><?xml version="1.0" encoding="utf-8"?>
<w:webSettings xmlns:r="http://schemas.openxmlformats.org/officeDocument/2006/relationships" xmlns:w="http://schemas.openxmlformats.org/wordprocessingml/2006/main">
  <w:divs>
    <w:div w:id="129056461">
      <w:bodyDiv w:val="1"/>
      <w:marLeft w:val="0"/>
      <w:marRight w:val="0"/>
      <w:marTop w:val="0"/>
      <w:marBottom w:val="0"/>
      <w:divBdr>
        <w:top w:val="none" w:sz="0" w:space="0" w:color="auto"/>
        <w:left w:val="none" w:sz="0" w:space="0" w:color="auto"/>
        <w:bottom w:val="none" w:sz="0" w:space="0" w:color="auto"/>
        <w:right w:val="none" w:sz="0" w:space="0" w:color="auto"/>
      </w:divBdr>
    </w:div>
    <w:div w:id="158497706">
      <w:bodyDiv w:val="1"/>
      <w:marLeft w:val="0"/>
      <w:marRight w:val="0"/>
      <w:marTop w:val="0"/>
      <w:marBottom w:val="0"/>
      <w:divBdr>
        <w:top w:val="none" w:sz="0" w:space="0" w:color="auto"/>
        <w:left w:val="none" w:sz="0" w:space="0" w:color="auto"/>
        <w:bottom w:val="none" w:sz="0" w:space="0" w:color="auto"/>
        <w:right w:val="none" w:sz="0" w:space="0" w:color="auto"/>
      </w:divBdr>
    </w:div>
    <w:div w:id="170336909">
      <w:bodyDiv w:val="1"/>
      <w:marLeft w:val="0"/>
      <w:marRight w:val="0"/>
      <w:marTop w:val="0"/>
      <w:marBottom w:val="0"/>
      <w:divBdr>
        <w:top w:val="none" w:sz="0" w:space="0" w:color="auto"/>
        <w:left w:val="none" w:sz="0" w:space="0" w:color="auto"/>
        <w:bottom w:val="none" w:sz="0" w:space="0" w:color="auto"/>
        <w:right w:val="none" w:sz="0" w:space="0" w:color="auto"/>
      </w:divBdr>
    </w:div>
    <w:div w:id="210462868">
      <w:bodyDiv w:val="1"/>
      <w:marLeft w:val="0"/>
      <w:marRight w:val="0"/>
      <w:marTop w:val="0"/>
      <w:marBottom w:val="0"/>
      <w:divBdr>
        <w:top w:val="none" w:sz="0" w:space="0" w:color="auto"/>
        <w:left w:val="none" w:sz="0" w:space="0" w:color="auto"/>
        <w:bottom w:val="none" w:sz="0" w:space="0" w:color="auto"/>
        <w:right w:val="none" w:sz="0" w:space="0" w:color="auto"/>
      </w:divBdr>
    </w:div>
    <w:div w:id="231696886">
      <w:bodyDiv w:val="1"/>
      <w:marLeft w:val="0"/>
      <w:marRight w:val="0"/>
      <w:marTop w:val="0"/>
      <w:marBottom w:val="0"/>
      <w:divBdr>
        <w:top w:val="none" w:sz="0" w:space="0" w:color="auto"/>
        <w:left w:val="none" w:sz="0" w:space="0" w:color="auto"/>
        <w:bottom w:val="none" w:sz="0" w:space="0" w:color="auto"/>
        <w:right w:val="none" w:sz="0" w:space="0" w:color="auto"/>
      </w:divBdr>
    </w:div>
    <w:div w:id="282033480">
      <w:bodyDiv w:val="1"/>
      <w:marLeft w:val="0"/>
      <w:marRight w:val="0"/>
      <w:marTop w:val="0"/>
      <w:marBottom w:val="0"/>
      <w:divBdr>
        <w:top w:val="none" w:sz="0" w:space="0" w:color="auto"/>
        <w:left w:val="none" w:sz="0" w:space="0" w:color="auto"/>
        <w:bottom w:val="none" w:sz="0" w:space="0" w:color="auto"/>
        <w:right w:val="none" w:sz="0" w:space="0" w:color="auto"/>
      </w:divBdr>
    </w:div>
    <w:div w:id="327751557">
      <w:bodyDiv w:val="1"/>
      <w:marLeft w:val="0"/>
      <w:marRight w:val="0"/>
      <w:marTop w:val="0"/>
      <w:marBottom w:val="0"/>
      <w:divBdr>
        <w:top w:val="none" w:sz="0" w:space="0" w:color="auto"/>
        <w:left w:val="none" w:sz="0" w:space="0" w:color="auto"/>
        <w:bottom w:val="none" w:sz="0" w:space="0" w:color="auto"/>
        <w:right w:val="none" w:sz="0" w:space="0" w:color="auto"/>
      </w:divBdr>
    </w:div>
    <w:div w:id="374162477">
      <w:bodyDiv w:val="1"/>
      <w:marLeft w:val="0"/>
      <w:marRight w:val="0"/>
      <w:marTop w:val="0"/>
      <w:marBottom w:val="0"/>
      <w:divBdr>
        <w:top w:val="none" w:sz="0" w:space="0" w:color="auto"/>
        <w:left w:val="none" w:sz="0" w:space="0" w:color="auto"/>
        <w:bottom w:val="none" w:sz="0" w:space="0" w:color="auto"/>
        <w:right w:val="none" w:sz="0" w:space="0" w:color="auto"/>
      </w:divBdr>
    </w:div>
    <w:div w:id="383067044">
      <w:bodyDiv w:val="1"/>
      <w:marLeft w:val="0"/>
      <w:marRight w:val="0"/>
      <w:marTop w:val="0"/>
      <w:marBottom w:val="0"/>
      <w:divBdr>
        <w:top w:val="none" w:sz="0" w:space="0" w:color="auto"/>
        <w:left w:val="none" w:sz="0" w:space="0" w:color="auto"/>
        <w:bottom w:val="none" w:sz="0" w:space="0" w:color="auto"/>
        <w:right w:val="none" w:sz="0" w:space="0" w:color="auto"/>
      </w:divBdr>
    </w:div>
    <w:div w:id="395933068">
      <w:bodyDiv w:val="1"/>
      <w:marLeft w:val="0"/>
      <w:marRight w:val="0"/>
      <w:marTop w:val="0"/>
      <w:marBottom w:val="0"/>
      <w:divBdr>
        <w:top w:val="none" w:sz="0" w:space="0" w:color="auto"/>
        <w:left w:val="none" w:sz="0" w:space="0" w:color="auto"/>
        <w:bottom w:val="none" w:sz="0" w:space="0" w:color="auto"/>
        <w:right w:val="none" w:sz="0" w:space="0" w:color="auto"/>
      </w:divBdr>
    </w:div>
    <w:div w:id="423039510">
      <w:bodyDiv w:val="1"/>
      <w:marLeft w:val="0"/>
      <w:marRight w:val="0"/>
      <w:marTop w:val="0"/>
      <w:marBottom w:val="0"/>
      <w:divBdr>
        <w:top w:val="none" w:sz="0" w:space="0" w:color="auto"/>
        <w:left w:val="none" w:sz="0" w:space="0" w:color="auto"/>
        <w:bottom w:val="none" w:sz="0" w:space="0" w:color="auto"/>
        <w:right w:val="none" w:sz="0" w:space="0" w:color="auto"/>
      </w:divBdr>
    </w:div>
    <w:div w:id="452871012">
      <w:bodyDiv w:val="1"/>
      <w:marLeft w:val="0"/>
      <w:marRight w:val="0"/>
      <w:marTop w:val="0"/>
      <w:marBottom w:val="0"/>
      <w:divBdr>
        <w:top w:val="none" w:sz="0" w:space="0" w:color="auto"/>
        <w:left w:val="none" w:sz="0" w:space="0" w:color="auto"/>
        <w:bottom w:val="none" w:sz="0" w:space="0" w:color="auto"/>
        <w:right w:val="none" w:sz="0" w:space="0" w:color="auto"/>
      </w:divBdr>
    </w:div>
    <w:div w:id="464978638">
      <w:bodyDiv w:val="1"/>
      <w:marLeft w:val="0"/>
      <w:marRight w:val="0"/>
      <w:marTop w:val="0"/>
      <w:marBottom w:val="0"/>
      <w:divBdr>
        <w:top w:val="none" w:sz="0" w:space="0" w:color="auto"/>
        <w:left w:val="none" w:sz="0" w:space="0" w:color="auto"/>
        <w:bottom w:val="none" w:sz="0" w:space="0" w:color="auto"/>
        <w:right w:val="none" w:sz="0" w:space="0" w:color="auto"/>
      </w:divBdr>
    </w:div>
    <w:div w:id="468330859">
      <w:bodyDiv w:val="1"/>
      <w:marLeft w:val="0"/>
      <w:marRight w:val="0"/>
      <w:marTop w:val="0"/>
      <w:marBottom w:val="0"/>
      <w:divBdr>
        <w:top w:val="none" w:sz="0" w:space="0" w:color="auto"/>
        <w:left w:val="none" w:sz="0" w:space="0" w:color="auto"/>
        <w:bottom w:val="none" w:sz="0" w:space="0" w:color="auto"/>
        <w:right w:val="none" w:sz="0" w:space="0" w:color="auto"/>
      </w:divBdr>
    </w:div>
    <w:div w:id="525755311">
      <w:bodyDiv w:val="1"/>
      <w:marLeft w:val="0"/>
      <w:marRight w:val="0"/>
      <w:marTop w:val="0"/>
      <w:marBottom w:val="0"/>
      <w:divBdr>
        <w:top w:val="none" w:sz="0" w:space="0" w:color="auto"/>
        <w:left w:val="none" w:sz="0" w:space="0" w:color="auto"/>
        <w:bottom w:val="none" w:sz="0" w:space="0" w:color="auto"/>
        <w:right w:val="none" w:sz="0" w:space="0" w:color="auto"/>
      </w:divBdr>
    </w:div>
    <w:div w:id="535780482">
      <w:bodyDiv w:val="1"/>
      <w:marLeft w:val="0"/>
      <w:marRight w:val="0"/>
      <w:marTop w:val="0"/>
      <w:marBottom w:val="0"/>
      <w:divBdr>
        <w:top w:val="none" w:sz="0" w:space="0" w:color="auto"/>
        <w:left w:val="none" w:sz="0" w:space="0" w:color="auto"/>
        <w:bottom w:val="none" w:sz="0" w:space="0" w:color="auto"/>
        <w:right w:val="none" w:sz="0" w:space="0" w:color="auto"/>
      </w:divBdr>
    </w:div>
    <w:div w:id="551232025">
      <w:bodyDiv w:val="1"/>
      <w:marLeft w:val="0"/>
      <w:marRight w:val="0"/>
      <w:marTop w:val="0"/>
      <w:marBottom w:val="0"/>
      <w:divBdr>
        <w:top w:val="none" w:sz="0" w:space="0" w:color="auto"/>
        <w:left w:val="none" w:sz="0" w:space="0" w:color="auto"/>
        <w:bottom w:val="none" w:sz="0" w:space="0" w:color="auto"/>
        <w:right w:val="none" w:sz="0" w:space="0" w:color="auto"/>
      </w:divBdr>
    </w:div>
    <w:div w:id="616105204">
      <w:bodyDiv w:val="1"/>
      <w:marLeft w:val="0"/>
      <w:marRight w:val="0"/>
      <w:marTop w:val="0"/>
      <w:marBottom w:val="0"/>
      <w:divBdr>
        <w:top w:val="none" w:sz="0" w:space="0" w:color="auto"/>
        <w:left w:val="none" w:sz="0" w:space="0" w:color="auto"/>
        <w:bottom w:val="none" w:sz="0" w:space="0" w:color="auto"/>
        <w:right w:val="none" w:sz="0" w:space="0" w:color="auto"/>
      </w:divBdr>
    </w:div>
    <w:div w:id="672223283">
      <w:bodyDiv w:val="1"/>
      <w:marLeft w:val="0"/>
      <w:marRight w:val="0"/>
      <w:marTop w:val="0"/>
      <w:marBottom w:val="0"/>
      <w:divBdr>
        <w:top w:val="none" w:sz="0" w:space="0" w:color="auto"/>
        <w:left w:val="none" w:sz="0" w:space="0" w:color="auto"/>
        <w:bottom w:val="none" w:sz="0" w:space="0" w:color="auto"/>
        <w:right w:val="none" w:sz="0" w:space="0" w:color="auto"/>
      </w:divBdr>
    </w:div>
    <w:div w:id="766384685">
      <w:bodyDiv w:val="1"/>
      <w:marLeft w:val="0"/>
      <w:marRight w:val="0"/>
      <w:marTop w:val="0"/>
      <w:marBottom w:val="0"/>
      <w:divBdr>
        <w:top w:val="none" w:sz="0" w:space="0" w:color="auto"/>
        <w:left w:val="none" w:sz="0" w:space="0" w:color="auto"/>
        <w:bottom w:val="none" w:sz="0" w:space="0" w:color="auto"/>
        <w:right w:val="none" w:sz="0" w:space="0" w:color="auto"/>
      </w:divBdr>
    </w:div>
    <w:div w:id="850339941">
      <w:bodyDiv w:val="1"/>
      <w:marLeft w:val="0"/>
      <w:marRight w:val="0"/>
      <w:marTop w:val="0"/>
      <w:marBottom w:val="0"/>
      <w:divBdr>
        <w:top w:val="none" w:sz="0" w:space="0" w:color="auto"/>
        <w:left w:val="none" w:sz="0" w:space="0" w:color="auto"/>
        <w:bottom w:val="none" w:sz="0" w:space="0" w:color="auto"/>
        <w:right w:val="none" w:sz="0" w:space="0" w:color="auto"/>
      </w:divBdr>
    </w:div>
    <w:div w:id="919560799">
      <w:bodyDiv w:val="1"/>
      <w:marLeft w:val="0"/>
      <w:marRight w:val="0"/>
      <w:marTop w:val="0"/>
      <w:marBottom w:val="0"/>
      <w:divBdr>
        <w:top w:val="none" w:sz="0" w:space="0" w:color="auto"/>
        <w:left w:val="none" w:sz="0" w:space="0" w:color="auto"/>
        <w:bottom w:val="none" w:sz="0" w:space="0" w:color="auto"/>
        <w:right w:val="none" w:sz="0" w:space="0" w:color="auto"/>
      </w:divBdr>
    </w:div>
    <w:div w:id="920337437">
      <w:bodyDiv w:val="1"/>
      <w:marLeft w:val="0"/>
      <w:marRight w:val="0"/>
      <w:marTop w:val="0"/>
      <w:marBottom w:val="0"/>
      <w:divBdr>
        <w:top w:val="none" w:sz="0" w:space="0" w:color="auto"/>
        <w:left w:val="none" w:sz="0" w:space="0" w:color="auto"/>
        <w:bottom w:val="none" w:sz="0" w:space="0" w:color="auto"/>
        <w:right w:val="none" w:sz="0" w:space="0" w:color="auto"/>
      </w:divBdr>
    </w:div>
    <w:div w:id="933588041">
      <w:bodyDiv w:val="1"/>
      <w:marLeft w:val="0"/>
      <w:marRight w:val="0"/>
      <w:marTop w:val="0"/>
      <w:marBottom w:val="0"/>
      <w:divBdr>
        <w:top w:val="none" w:sz="0" w:space="0" w:color="auto"/>
        <w:left w:val="none" w:sz="0" w:space="0" w:color="auto"/>
        <w:bottom w:val="none" w:sz="0" w:space="0" w:color="auto"/>
        <w:right w:val="none" w:sz="0" w:space="0" w:color="auto"/>
      </w:divBdr>
    </w:div>
    <w:div w:id="1014460723">
      <w:bodyDiv w:val="1"/>
      <w:marLeft w:val="0"/>
      <w:marRight w:val="0"/>
      <w:marTop w:val="0"/>
      <w:marBottom w:val="0"/>
      <w:divBdr>
        <w:top w:val="none" w:sz="0" w:space="0" w:color="auto"/>
        <w:left w:val="none" w:sz="0" w:space="0" w:color="auto"/>
        <w:bottom w:val="none" w:sz="0" w:space="0" w:color="auto"/>
        <w:right w:val="none" w:sz="0" w:space="0" w:color="auto"/>
      </w:divBdr>
    </w:div>
    <w:div w:id="1059938422">
      <w:bodyDiv w:val="1"/>
      <w:marLeft w:val="0"/>
      <w:marRight w:val="0"/>
      <w:marTop w:val="0"/>
      <w:marBottom w:val="0"/>
      <w:divBdr>
        <w:top w:val="none" w:sz="0" w:space="0" w:color="auto"/>
        <w:left w:val="none" w:sz="0" w:space="0" w:color="auto"/>
        <w:bottom w:val="none" w:sz="0" w:space="0" w:color="auto"/>
        <w:right w:val="none" w:sz="0" w:space="0" w:color="auto"/>
      </w:divBdr>
    </w:div>
    <w:div w:id="1173028971">
      <w:bodyDiv w:val="1"/>
      <w:marLeft w:val="0"/>
      <w:marRight w:val="0"/>
      <w:marTop w:val="0"/>
      <w:marBottom w:val="0"/>
      <w:divBdr>
        <w:top w:val="none" w:sz="0" w:space="0" w:color="auto"/>
        <w:left w:val="none" w:sz="0" w:space="0" w:color="auto"/>
        <w:bottom w:val="none" w:sz="0" w:space="0" w:color="auto"/>
        <w:right w:val="none" w:sz="0" w:space="0" w:color="auto"/>
      </w:divBdr>
    </w:div>
    <w:div w:id="1187210363">
      <w:bodyDiv w:val="1"/>
      <w:marLeft w:val="0"/>
      <w:marRight w:val="0"/>
      <w:marTop w:val="0"/>
      <w:marBottom w:val="0"/>
      <w:divBdr>
        <w:top w:val="none" w:sz="0" w:space="0" w:color="auto"/>
        <w:left w:val="none" w:sz="0" w:space="0" w:color="auto"/>
        <w:bottom w:val="none" w:sz="0" w:space="0" w:color="auto"/>
        <w:right w:val="none" w:sz="0" w:space="0" w:color="auto"/>
      </w:divBdr>
    </w:div>
    <w:div w:id="1343897706">
      <w:bodyDiv w:val="1"/>
      <w:marLeft w:val="0"/>
      <w:marRight w:val="0"/>
      <w:marTop w:val="0"/>
      <w:marBottom w:val="0"/>
      <w:divBdr>
        <w:top w:val="none" w:sz="0" w:space="0" w:color="auto"/>
        <w:left w:val="none" w:sz="0" w:space="0" w:color="auto"/>
        <w:bottom w:val="none" w:sz="0" w:space="0" w:color="auto"/>
        <w:right w:val="none" w:sz="0" w:space="0" w:color="auto"/>
      </w:divBdr>
    </w:div>
    <w:div w:id="1370378209">
      <w:bodyDiv w:val="1"/>
      <w:marLeft w:val="0"/>
      <w:marRight w:val="0"/>
      <w:marTop w:val="0"/>
      <w:marBottom w:val="0"/>
      <w:divBdr>
        <w:top w:val="none" w:sz="0" w:space="0" w:color="auto"/>
        <w:left w:val="none" w:sz="0" w:space="0" w:color="auto"/>
        <w:bottom w:val="none" w:sz="0" w:space="0" w:color="auto"/>
        <w:right w:val="none" w:sz="0" w:space="0" w:color="auto"/>
      </w:divBdr>
    </w:div>
    <w:div w:id="1378241962">
      <w:bodyDiv w:val="1"/>
      <w:marLeft w:val="0"/>
      <w:marRight w:val="0"/>
      <w:marTop w:val="0"/>
      <w:marBottom w:val="0"/>
      <w:divBdr>
        <w:top w:val="none" w:sz="0" w:space="0" w:color="auto"/>
        <w:left w:val="none" w:sz="0" w:space="0" w:color="auto"/>
        <w:bottom w:val="none" w:sz="0" w:space="0" w:color="auto"/>
        <w:right w:val="none" w:sz="0" w:space="0" w:color="auto"/>
      </w:divBdr>
    </w:div>
    <w:div w:id="1583876961">
      <w:bodyDiv w:val="1"/>
      <w:marLeft w:val="0"/>
      <w:marRight w:val="0"/>
      <w:marTop w:val="0"/>
      <w:marBottom w:val="0"/>
      <w:divBdr>
        <w:top w:val="none" w:sz="0" w:space="0" w:color="auto"/>
        <w:left w:val="none" w:sz="0" w:space="0" w:color="auto"/>
        <w:bottom w:val="none" w:sz="0" w:space="0" w:color="auto"/>
        <w:right w:val="none" w:sz="0" w:space="0" w:color="auto"/>
      </w:divBdr>
    </w:div>
    <w:div w:id="1616403957">
      <w:bodyDiv w:val="1"/>
      <w:marLeft w:val="0"/>
      <w:marRight w:val="0"/>
      <w:marTop w:val="0"/>
      <w:marBottom w:val="0"/>
      <w:divBdr>
        <w:top w:val="none" w:sz="0" w:space="0" w:color="auto"/>
        <w:left w:val="none" w:sz="0" w:space="0" w:color="auto"/>
        <w:bottom w:val="none" w:sz="0" w:space="0" w:color="auto"/>
        <w:right w:val="none" w:sz="0" w:space="0" w:color="auto"/>
      </w:divBdr>
    </w:div>
    <w:div w:id="1619212698">
      <w:bodyDiv w:val="1"/>
      <w:marLeft w:val="0"/>
      <w:marRight w:val="0"/>
      <w:marTop w:val="0"/>
      <w:marBottom w:val="0"/>
      <w:divBdr>
        <w:top w:val="none" w:sz="0" w:space="0" w:color="auto"/>
        <w:left w:val="none" w:sz="0" w:space="0" w:color="auto"/>
        <w:bottom w:val="none" w:sz="0" w:space="0" w:color="auto"/>
        <w:right w:val="none" w:sz="0" w:space="0" w:color="auto"/>
      </w:divBdr>
    </w:div>
    <w:div w:id="1625309232">
      <w:bodyDiv w:val="1"/>
      <w:marLeft w:val="0"/>
      <w:marRight w:val="0"/>
      <w:marTop w:val="0"/>
      <w:marBottom w:val="0"/>
      <w:divBdr>
        <w:top w:val="none" w:sz="0" w:space="0" w:color="auto"/>
        <w:left w:val="none" w:sz="0" w:space="0" w:color="auto"/>
        <w:bottom w:val="none" w:sz="0" w:space="0" w:color="auto"/>
        <w:right w:val="none" w:sz="0" w:space="0" w:color="auto"/>
      </w:divBdr>
    </w:div>
    <w:div w:id="1736465497">
      <w:bodyDiv w:val="1"/>
      <w:marLeft w:val="0"/>
      <w:marRight w:val="0"/>
      <w:marTop w:val="0"/>
      <w:marBottom w:val="0"/>
      <w:divBdr>
        <w:top w:val="none" w:sz="0" w:space="0" w:color="auto"/>
        <w:left w:val="none" w:sz="0" w:space="0" w:color="auto"/>
        <w:bottom w:val="none" w:sz="0" w:space="0" w:color="auto"/>
        <w:right w:val="none" w:sz="0" w:space="0" w:color="auto"/>
      </w:divBdr>
    </w:div>
    <w:div w:id="1751074944">
      <w:bodyDiv w:val="1"/>
      <w:marLeft w:val="0"/>
      <w:marRight w:val="0"/>
      <w:marTop w:val="0"/>
      <w:marBottom w:val="0"/>
      <w:divBdr>
        <w:top w:val="none" w:sz="0" w:space="0" w:color="auto"/>
        <w:left w:val="none" w:sz="0" w:space="0" w:color="auto"/>
        <w:bottom w:val="none" w:sz="0" w:space="0" w:color="auto"/>
        <w:right w:val="none" w:sz="0" w:space="0" w:color="auto"/>
      </w:divBdr>
    </w:div>
    <w:div w:id="1792631349">
      <w:bodyDiv w:val="1"/>
      <w:marLeft w:val="0"/>
      <w:marRight w:val="0"/>
      <w:marTop w:val="0"/>
      <w:marBottom w:val="0"/>
      <w:divBdr>
        <w:top w:val="none" w:sz="0" w:space="0" w:color="auto"/>
        <w:left w:val="none" w:sz="0" w:space="0" w:color="auto"/>
        <w:bottom w:val="none" w:sz="0" w:space="0" w:color="auto"/>
        <w:right w:val="none" w:sz="0" w:space="0" w:color="auto"/>
      </w:divBdr>
    </w:div>
    <w:div w:id="1818182227">
      <w:bodyDiv w:val="1"/>
      <w:marLeft w:val="0"/>
      <w:marRight w:val="0"/>
      <w:marTop w:val="0"/>
      <w:marBottom w:val="0"/>
      <w:divBdr>
        <w:top w:val="none" w:sz="0" w:space="0" w:color="auto"/>
        <w:left w:val="none" w:sz="0" w:space="0" w:color="auto"/>
        <w:bottom w:val="none" w:sz="0" w:space="0" w:color="auto"/>
        <w:right w:val="none" w:sz="0" w:space="0" w:color="auto"/>
      </w:divBdr>
    </w:div>
    <w:div w:id="1819492693">
      <w:bodyDiv w:val="1"/>
      <w:marLeft w:val="0"/>
      <w:marRight w:val="0"/>
      <w:marTop w:val="0"/>
      <w:marBottom w:val="0"/>
      <w:divBdr>
        <w:top w:val="none" w:sz="0" w:space="0" w:color="auto"/>
        <w:left w:val="none" w:sz="0" w:space="0" w:color="auto"/>
        <w:bottom w:val="none" w:sz="0" w:space="0" w:color="auto"/>
        <w:right w:val="none" w:sz="0" w:space="0" w:color="auto"/>
      </w:divBdr>
    </w:div>
    <w:div w:id="1921865956">
      <w:bodyDiv w:val="1"/>
      <w:marLeft w:val="0"/>
      <w:marRight w:val="0"/>
      <w:marTop w:val="0"/>
      <w:marBottom w:val="0"/>
      <w:divBdr>
        <w:top w:val="none" w:sz="0" w:space="0" w:color="auto"/>
        <w:left w:val="none" w:sz="0" w:space="0" w:color="auto"/>
        <w:bottom w:val="none" w:sz="0" w:space="0" w:color="auto"/>
        <w:right w:val="none" w:sz="0" w:space="0" w:color="auto"/>
      </w:divBdr>
    </w:div>
    <w:div w:id="1963462063">
      <w:bodyDiv w:val="1"/>
      <w:marLeft w:val="0"/>
      <w:marRight w:val="0"/>
      <w:marTop w:val="0"/>
      <w:marBottom w:val="0"/>
      <w:divBdr>
        <w:top w:val="none" w:sz="0" w:space="0" w:color="auto"/>
        <w:left w:val="none" w:sz="0" w:space="0" w:color="auto"/>
        <w:bottom w:val="none" w:sz="0" w:space="0" w:color="auto"/>
        <w:right w:val="none" w:sz="0" w:space="0" w:color="auto"/>
      </w:divBdr>
    </w:div>
    <w:div w:id="2027368034">
      <w:bodyDiv w:val="1"/>
      <w:marLeft w:val="0"/>
      <w:marRight w:val="0"/>
      <w:marTop w:val="0"/>
      <w:marBottom w:val="0"/>
      <w:divBdr>
        <w:top w:val="none" w:sz="0" w:space="0" w:color="auto"/>
        <w:left w:val="none" w:sz="0" w:space="0" w:color="auto"/>
        <w:bottom w:val="none" w:sz="0" w:space="0" w:color="auto"/>
        <w:right w:val="none" w:sz="0" w:space="0" w:color="auto"/>
      </w:divBdr>
    </w:div>
    <w:div w:id="2036072796">
      <w:bodyDiv w:val="1"/>
      <w:marLeft w:val="0"/>
      <w:marRight w:val="0"/>
      <w:marTop w:val="0"/>
      <w:marBottom w:val="0"/>
      <w:divBdr>
        <w:top w:val="none" w:sz="0" w:space="0" w:color="auto"/>
        <w:left w:val="none" w:sz="0" w:space="0" w:color="auto"/>
        <w:bottom w:val="none" w:sz="0" w:space="0" w:color="auto"/>
        <w:right w:val="none" w:sz="0" w:space="0" w:color="auto"/>
      </w:divBdr>
    </w:div>
    <w:div w:id="2108764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761A-2A6F-4248-B9A5-79E138A3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Fix</dc:creator>
  <cp:lastModifiedBy>jolano</cp:lastModifiedBy>
  <cp:revision>4</cp:revision>
  <cp:lastPrinted>2016-06-18T16:20:00Z</cp:lastPrinted>
  <dcterms:created xsi:type="dcterms:W3CDTF">2016-10-21T14:10:00Z</dcterms:created>
  <dcterms:modified xsi:type="dcterms:W3CDTF">2017-01-07T07:56:00Z</dcterms:modified>
</cp:coreProperties>
</file>