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Pastiche Hypothetical</w:t>
      </w:r>
    </w:p>
    <w:p w:rsidR="00000000" w:rsidDel="00000000" w:rsidP="00000000" w:rsidRDefault="00000000" w:rsidRPr="00000000" w14:paraId="00000002">
      <w:pPr>
        <w:jc w:val="center"/>
        <w:rPr>
          <w:b w:val="1"/>
        </w:rPr>
      </w:pPr>
      <w:r w:rsidDel="00000000" w:rsidR="00000000" w:rsidRPr="00000000">
        <w:rPr>
          <w:b w:val="1"/>
          <w:rtl w:val="0"/>
        </w:rPr>
        <w:t xml:space="preserve">Anne T. Gilliland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An art teacher contacted Callope McPherson with a question about pastiches that her students had created.  The assignment had been to recreate a portrait from some period of art history.  Some students had selected recent works of art to copy or interpret, while others had used works from long in the past.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Many of the works were striking and visually pleasing.  One parent of a student is an official in the city Public Works Office, and he has proposed that students’ works be hung in the city administration building and used as the images on the holiday cards that the office sends out every winter.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art teacher thinks it is a wonderful opportunity, but she has some questions.  Will these activities infringe the copyrights of the original authors?  Is there a difference in the legality of displaying the pictures and reproducing them for cards?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Calliope listens to her, she also wonders:  Are there other questions that she and the art teacher should be asking and answering?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